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ind w:left="630" w:leftChars="300" w:firstLine="321" w:firstLineChars="100"/>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ind w:left="630" w:leftChars="300" w:firstLine="321" w:firstLineChars="100"/>
        <w:jc w:val="center"/>
        <w:rPr>
          <w:rFonts w:ascii="黑体" w:hAnsi="黑体" w:eastAsia="黑体"/>
          <w:b/>
          <w:bCs/>
          <w:sz w:val="32"/>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opLinePunct/>
        <w:spacing w:line="440" w:lineRule="exact"/>
        <w:jc w:val="center"/>
      </w:pPr>
    </w:p>
    <w:p>
      <w:pPr>
        <w:topLinePunct/>
        <w:spacing w:line="440" w:lineRule="exact"/>
        <w:jc w:val="center"/>
      </w:pPr>
    </w:p>
    <w:p>
      <w:pPr>
        <w:topLinePunct/>
        <w:spacing w:line="440" w:lineRule="exact"/>
        <w:jc w:val="center"/>
      </w:pPr>
    </w:p>
    <w:p>
      <w:pPr>
        <w:spacing w:line="400" w:lineRule="exact"/>
      </w:pPr>
    </w:p>
    <w:p>
      <w:pPr>
        <w:spacing w:line="400" w:lineRule="exact"/>
        <w:jc w:val="center"/>
      </w:pPr>
    </w:p>
    <w:p>
      <w:pPr>
        <w:pStyle w:val="13"/>
        <w:jc w:val="center"/>
        <w:rPr>
          <w:rFonts w:ascii="宋体"/>
          <w:szCs w:val="21"/>
        </w:rPr>
      </w:pPr>
      <w:r>
        <w:br w:type="page"/>
      </w:r>
      <w:bookmarkStart w:id="0" w:name="_Toc356204538"/>
      <w:bookmarkStart w:id="1" w:name="_Toc357082526"/>
      <w:r>
        <w:rPr>
          <w:rFonts w:hint="eastAsia"/>
        </w:rPr>
        <w:t>第一节供货范围、技术规格、参数与要求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rPr>
      </w:pPr>
      <w:r>
        <w:rPr>
          <w:rFonts w:hint="eastAsia"/>
          <w:b/>
        </w:rPr>
        <w:t>一、货物需求一览表</w:t>
      </w:r>
    </w:p>
    <w:tbl>
      <w:tblPr>
        <w:tblStyle w:val="11"/>
        <w:tblW w:w="94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4"/>
        <w:gridCol w:w="2396"/>
        <w:gridCol w:w="2068"/>
        <w:gridCol w:w="411"/>
        <w:gridCol w:w="465"/>
        <w:gridCol w:w="1743"/>
        <w:gridCol w:w="769"/>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564"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序号</w:t>
            </w:r>
          </w:p>
        </w:tc>
        <w:tc>
          <w:tcPr>
            <w:tcW w:w="2396"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名称</w:t>
            </w:r>
          </w:p>
        </w:tc>
        <w:tc>
          <w:tcPr>
            <w:tcW w:w="2068"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规格</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型号</w:t>
            </w:r>
          </w:p>
        </w:tc>
        <w:tc>
          <w:tcPr>
            <w:tcW w:w="411"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单</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位</w:t>
            </w:r>
          </w:p>
        </w:tc>
        <w:tc>
          <w:tcPr>
            <w:tcW w:w="465"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数</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量</w:t>
            </w:r>
          </w:p>
        </w:tc>
        <w:tc>
          <w:tcPr>
            <w:tcW w:w="1743"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交货时间</w:t>
            </w:r>
          </w:p>
        </w:tc>
        <w:tc>
          <w:tcPr>
            <w:tcW w:w="769"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交货</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地点</w:t>
            </w:r>
          </w:p>
        </w:tc>
        <w:tc>
          <w:tcPr>
            <w:tcW w:w="990" w:type="dxa"/>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jc w:val="center"/>
        </w:trPr>
        <w:tc>
          <w:tcPr>
            <w:tcW w:w="564" w:type="dxa"/>
            <w:tcMar>
              <w:top w:w="0" w:type="dxa"/>
              <w:left w:w="108" w:type="dxa"/>
              <w:bottom w:w="0" w:type="dxa"/>
              <w:right w:w="108" w:type="dxa"/>
            </w:tcMar>
            <w:vAlign w:val="center"/>
          </w:tcPr>
          <w:p>
            <w:pPr>
              <w:pStyle w:val="4"/>
              <w:spacing w:after="0"/>
              <w:jc w:val="center"/>
              <w:rPr>
                <w:szCs w:val="21"/>
              </w:rPr>
            </w:pPr>
            <w:r>
              <w:rPr>
                <w:szCs w:val="21"/>
              </w:rPr>
              <w:t>1</w:t>
            </w:r>
          </w:p>
        </w:tc>
        <w:tc>
          <w:tcPr>
            <w:tcW w:w="2396" w:type="dxa"/>
            <w:tcMar>
              <w:top w:w="0" w:type="dxa"/>
              <w:left w:w="108" w:type="dxa"/>
              <w:bottom w:w="0" w:type="dxa"/>
              <w:right w:w="108" w:type="dxa"/>
            </w:tcMar>
            <w:vAlign w:val="center"/>
          </w:tcPr>
          <w:p>
            <w:pPr>
              <w:pStyle w:val="4"/>
              <w:spacing w:after="0"/>
              <w:jc w:val="center"/>
              <w:rPr>
                <w:szCs w:val="21"/>
              </w:rPr>
            </w:pPr>
            <w:r>
              <w:rPr>
                <w:kern w:val="0"/>
                <w:szCs w:val="21"/>
              </w:rPr>
              <w:t>矿井水文监测系统</w:t>
            </w:r>
          </w:p>
        </w:tc>
        <w:tc>
          <w:tcPr>
            <w:tcW w:w="2068" w:type="dxa"/>
            <w:tcMar>
              <w:top w:w="0" w:type="dxa"/>
              <w:left w:w="108" w:type="dxa"/>
              <w:bottom w:w="0" w:type="dxa"/>
              <w:right w:w="108" w:type="dxa"/>
            </w:tcMar>
            <w:vAlign w:val="center"/>
          </w:tcPr>
          <w:p>
            <w:pPr>
              <w:pStyle w:val="4"/>
              <w:spacing w:after="0"/>
              <w:jc w:val="center"/>
              <w:rPr>
                <w:szCs w:val="21"/>
              </w:rPr>
            </w:pPr>
          </w:p>
        </w:tc>
        <w:tc>
          <w:tcPr>
            <w:tcW w:w="411" w:type="dxa"/>
            <w:tcMar>
              <w:top w:w="0" w:type="dxa"/>
              <w:left w:w="108" w:type="dxa"/>
              <w:bottom w:w="0" w:type="dxa"/>
              <w:right w:w="108" w:type="dxa"/>
            </w:tcMar>
            <w:vAlign w:val="center"/>
          </w:tcPr>
          <w:p>
            <w:pPr>
              <w:pStyle w:val="4"/>
              <w:spacing w:after="0"/>
              <w:jc w:val="center"/>
              <w:rPr>
                <w:szCs w:val="21"/>
              </w:rPr>
            </w:pPr>
            <w:r>
              <w:rPr>
                <w:szCs w:val="21"/>
              </w:rPr>
              <w:t>套</w:t>
            </w:r>
          </w:p>
        </w:tc>
        <w:tc>
          <w:tcPr>
            <w:tcW w:w="465" w:type="dxa"/>
            <w:tcMar>
              <w:top w:w="0" w:type="dxa"/>
              <w:left w:w="108" w:type="dxa"/>
              <w:bottom w:w="0" w:type="dxa"/>
              <w:right w:w="108" w:type="dxa"/>
            </w:tcMar>
            <w:vAlign w:val="center"/>
          </w:tcPr>
          <w:p>
            <w:pPr>
              <w:pStyle w:val="4"/>
              <w:spacing w:after="0"/>
              <w:jc w:val="center"/>
              <w:rPr>
                <w:szCs w:val="21"/>
              </w:rPr>
            </w:pPr>
            <w:r>
              <w:rPr>
                <w:szCs w:val="21"/>
              </w:rPr>
              <w:t>1</w:t>
            </w:r>
          </w:p>
        </w:tc>
        <w:tc>
          <w:tcPr>
            <w:tcW w:w="1743" w:type="dxa"/>
            <w:tcMar>
              <w:top w:w="0" w:type="dxa"/>
              <w:left w:w="108" w:type="dxa"/>
              <w:bottom w:w="0" w:type="dxa"/>
              <w:right w:w="108" w:type="dxa"/>
            </w:tcMar>
            <w:vAlign w:val="center"/>
          </w:tcPr>
          <w:p>
            <w:pPr>
              <w:pStyle w:val="4"/>
              <w:spacing w:after="0"/>
              <w:jc w:val="center"/>
              <w:rPr>
                <w:szCs w:val="21"/>
              </w:rPr>
            </w:pPr>
            <w:r>
              <w:rPr>
                <w:szCs w:val="21"/>
              </w:rPr>
              <w:t>自合同签订之日起</w:t>
            </w:r>
            <w:r>
              <w:rPr>
                <w:szCs w:val="21"/>
                <w:u w:val="single"/>
              </w:rPr>
              <w:t xml:space="preserve"> 1</w:t>
            </w:r>
            <w:r>
              <w:rPr>
                <w:szCs w:val="21"/>
              </w:rPr>
              <w:t>个月内交货</w:t>
            </w:r>
          </w:p>
        </w:tc>
        <w:tc>
          <w:tcPr>
            <w:tcW w:w="769" w:type="dxa"/>
            <w:tcMar>
              <w:top w:w="0" w:type="dxa"/>
              <w:left w:w="108" w:type="dxa"/>
              <w:bottom w:w="0" w:type="dxa"/>
              <w:right w:w="108" w:type="dxa"/>
            </w:tcMar>
            <w:vAlign w:val="center"/>
          </w:tcPr>
          <w:p>
            <w:pPr>
              <w:pStyle w:val="4"/>
              <w:spacing w:after="0"/>
              <w:jc w:val="center"/>
              <w:rPr>
                <w:szCs w:val="21"/>
              </w:rPr>
            </w:pPr>
            <w:r>
              <w:rPr>
                <w:szCs w:val="21"/>
              </w:rPr>
              <w:t>锦界煤矿</w:t>
            </w:r>
          </w:p>
        </w:tc>
        <w:tc>
          <w:tcPr>
            <w:tcW w:w="990" w:type="dxa"/>
            <w:tcMar>
              <w:top w:w="0" w:type="dxa"/>
              <w:left w:w="108" w:type="dxa"/>
              <w:bottom w:w="0" w:type="dxa"/>
              <w:right w:w="108" w:type="dxa"/>
            </w:tcMar>
            <w:vAlign w:val="center"/>
          </w:tcPr>
          <w:p>
            <w:pPr>
              <w:pStyle w:val="4"/>
              <w:spacing w:after="0"/>
              <w:jc w:val="center"/>
              <w:rPr>
                <w:szCs w:val="21"/>
              </w:rPr>
            </w:pPr>
          </w:p>
        </w:tc>
      </w:tr>
    </w:tbl>
    <w:p>
      <w:pPr>
        <w:adjustRightInd w:val="0"/>
        <w:snapToGrid w:val="0"/>
        <w:spacing w:before="312" w:beforeLines="100" w:line="360" w:lineRule="auto"/>
        <w:jc w:val="center"/>
        <w:rPr>
          <w:b/>
        </w:rPr>
      </w:pPr>
      <w:r>
        <w:rPr>
          <w:rFonts w:hint="eastAsia" w:ascii="宋体" w:hAnsi="宋体"/>
          <w:b/>
          <w:bCs/>
          <w:szCs w:val="21"/>
        </w:rPr>
        <w:t>分项报价表</w:t>
      </w:r>
    </w:p>
    <w:tbl>
      <w:tblPr>
        <w:tblStyle w:val="11"/>
        <w:tblW w:w="921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0"/>
        <w:gridCol w:w="4064"/>
        <w:gridCol w:w="767"/>
        <w:gridCol w:w="20"/>
        <w:gridCol w:w="873"/>
        <w:gridCol w:w="1163"/>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47" w:hRule="atLeast"/>
          <w:tblHeader/>
        </w:trPr>
        <w:tc>
          <w:tcPr>
            <w:tcW w:w="1020" w:type="dxa"/>
            <w:vAlign w:val="center"/>
          </w:tcPr>
          <w:p>
            <w:pPr>
              <w:adjustRightInd w:val="0"/>
              <w:snapToGrid w:val="0"/>
              <w:jc w:val="center"/>
              <w:rPr>
                <w:rFonts w:ascii="宋体" w:cs="宋体"/>
                <w:b/>
                <w:szCs w:val="21"/>
              </w:rPr>
            </w:pPr>
            <w:r>
              <w:rPr>
                <w:rFonts w:hint="eastAsia" w:ascii="宋体" w:hAnsi="宋体" w:cs="宋体"/>
                <w:b/>
                <w:szCs w:val="21"/>
              </w:rPr>
              <w:t>序号</w:t>
            </w:r>
          </w:p>
        </w:tc>
        <w:tc>
          <w:tcPr>
            <w:tcW w:w="4064" w:type="dxa"/>
            <w:vAlign w:val="center"/>
          </w:tcPr>
          <w:p>
            <w:pPr>
              <w:adjustRightInd w:val="0"/>
              <w:snapToGrid w:val="0"/>
              <w:jc w:val="center"/>
              <w:rPr>
                <w:rFonts w:ascii="宋体" w:cs="宋体"/>
                <w:b/>
                <w:szCs w:val="21"/>
              </w:rPr>
            </w:pPr>
            <w:r>
              <w:rPr>
                <w:rFonts w:hint="eastAsia" w:ascii="宋体" w:hAnsi="宋体" w:cs="宋体"/>
                <w:b/>
                <w:szCs w:val="21"/>
              </w:rPr>
              <w:t>名　称</w:t>
            </w:r>
          </w:p>
        </w:tc>
        <w:tc>
          <w:tcPr>
            <w:tcW w:w="787" w:type="dxa"/>
            <w:gridSpan w:val="2"/>
            <w:vAlign w:val="center"/>
          </w:tcPr>
          <w:p>
            <w:pPr>
              <w:adjustRightInd w:val="0"/>
              <w:snapToGrid w:val="0"/>
              <w:jc w:val="center"/>
              <w:rPr>
                <w:rFonts w:ascii="宋体" w:cs="宋体"/>
                <w:b/>
                <w:szCs w:val="21"/>
              </w:rPr>
            </w:pPr>
            <w:r>
              <w:rPr>
                <w:rFonts w:hint="eastAsia" w:ascii="宋体" w:hAnsi="宋体" w:cs="宋体"/>
                <w:b/>
                <w:szCs w:val="21"/>
              </w:rPr>
              <w:t>单位</w:t>
            </w:r>
          </w:p>
        </w:tc>
        <w:tc>
          <w:tcPr>
            <w:tcW w:w="873" w:type="dxa"/>
            <w:vAlign w:val="center"/>
          </w:tcPr>
          <w:p>
            <w:pPr>
              <w:adjustRightInd w:val="0"/>
              <w:snapToGrid w:val="0"/>
              <w:jc w:val="center"/>
              <w:rPr>
                <w:rFonts w:ascii="宋体" w:cs="宋体"/>
                <w:b/>
                <w:szCs w:val="21"/>
              </w:rPr>
            </w:pPr>
            <w:r>
              <w:rPr>
                <w:rFonts w:hint="eastAsia" w:ascii="宋体" w:hAnsi="宋体" w:cs="宋体"/>
                <w:b/>
                <w:szCs w:val="21"/>
              </w:rPr>
              <w:t>数量</w:t>
            </w:r>
          </w:p>
        </w:tc>
        <w:tc>
          <w:tcPr>
            <w:tcW w:w="1163" w:type="dxa"/>
            <w:vAlign w:val="center"/>
          </w:tcPr>
          <w:p>
            <w:pPr>
              <w:adjustRightInd w:val="0"/>
              <w:snapToGrid w:val="0"/>
              <w:jc w:val="center"/>
              <w:rPr>
                <w:rFonts w:ascii="宋体" w:cs="宋体"/>
                <w:b/>
                <w:szCs w:val="21"/>
              </w:rPr>
            </w:pPr>
            <w:r>
              <w:rPr>
                <w:rFonts w:hint="eastAsia" w:ascii="宋体" w:hAnsi="宋体" w:cs="宋体"/>
                <w:b/>
                <w:szCs w:val="21"/>
              </w:rPr>
              <w:t>单价</w:t>
            </w:r>
            <w:r>
              <w:rPr>
                <w:rFonts w:ascii="宋体" w:hAnsi="宋体" w:cs="宋体"/>
                <w:b/>
                <w:szCs w:val="21"/>
              </w:rPr>
              <w:t>(</w:t>
            </w:r>
            <w:r>
              <w:rPr>
                <w:rFonts w:hint="eastAsia" w:ascii="宋体" w:hAnsi="宋体" w:cs="宋体"/>
                <w:b/>
                <w:szCs w:val="21"/>
              </w:rPr>
              <w:t>元</w:t>
            </w:r>
            <w:r>
              <w:rPr>
                <w:rFonts w:ascii="宋体" w:hAnsi="宋体" w:cs="宋体"/>
                <w:b/>
                <w:szCs w:val="21"/>
              </w:rPr>
              <w:t>)</w:t>
            </w:r>
          </w:p>
        </w:tc>
        <w:tc>
          <w:tcPr>
            <w:tcW w:w="1303" w:type="dxa"/>
            <w:vAlign w:val="center"/>
          </w:tcPr>
          <w:p>
            <w:pPr>
              <w:adjustRightInd w:val="0"/>
              <w:snapToGrid w:val="0"/>
              <w:jc w:val="center"/>
              <w:rPr>
                <w:rFonts w:ascii="宋体" w:cs="宋体"/>
                <w:b/>
                <w:szCs w:val="21"/>
              </w:rPr>
            </w:pPr>
            <w:r>
              <w:rPr>
                <w:rFonts w:hint="eastAsia" w:ascii="宋体" w:hAnsi="宋体" w:cs="宋体"/>
                <w:b/>
                <w:szCs w:val="21"/>
              </w:rPr>
              <w:t>总价</w:t>
            </w:r>
            <w:r>
              <w:rPr>
                <w:rFonts w:ascii="宋体" w:hAnsi="宋体" w:cs="宋体"/>
                <w:b/>
                <w:szCs w:val="21"/>
              </w:rPr>
              <w:t>(</w:t>
            </w:r>
            <w:r>
              <w:rPr>
                <w:rFonts w:hint="eastAsia" w:ascii="宋体" w:hAnsi="宋体" w:cs="宋体"/>
                <w:b/>
                <w:szCs w:val="21"/>
              </w:rPr>
              <w:t>元</w:t>
            </w:r>
            <w:r>
              <w:rPr>
                <w:rFonts w:ascii="宋体" w:hAnsi="宋体" w:cs="宋体"/>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rFonts w:ascii="宋体" w:cs="宋体"/>
                <w:b/>
                <w:szCs w:val="21"/>
              </w:rPr>
            </w:pPr>
            <w:r>
              <w:rPr>
                <w:rFonts w:ascii="宋体" w:hAnsi="宋体" w:cs="宋体"/>
                <w:b/>
                <w:szCs w:val="21"/>
              </w:rPr>
              <w:t>1</w:t>
            </w:r>
          </w:p>
        </w:tc>
        <w:tc>
          <w:tcPr>
            <w:tcW w:w="4064" w:type="dxa"/>
            <w:vAlign w:val="center"/>
          </w:tcPr>
          <w:p>
            <w:pPr>
              <w:adjustRightInd w:val="0"/>
              <w:snapToGrid w:val="0"/>
              <w:jc w:val="center"/>
              <w:rPr>
                <w:rFonts w:ascii="宋体" w:cs="宋体"/>
                <w:kern w:val="0"/>
                <w:szCs w:val="21"/>
              </w:rPr>
            </w:pPr>
            <w:r>
              <w:rPr>
                <w:rFonts w:hint="eastAsia" w:ascii="宋体" w:hAnsi="宋体" w:cs="宋体"/>
                <w:kern w:val="0"/>
                <w:szCs w:val="21"/>
              </w:rPr>
              <w:t>矿井水文监测系统</w:t>
            </w:r>
          </w:p>
        </w:tc>
        <w:tc>
          <w:tcPr>
            <w:tcW w:w="787" w:type="dxa"/>
            <w:gridSpan w:val="2"/>
            <w:vAlign w:val="center"/>
          </w:tcPr>
          <w:p>
            <w:pPr>
              <w:adjustRightInd w:val="0"/>
              <w:snapToGrid w:val="0"/>
              <w:jc w:val="center"/>
              <w:rPr>
                <w:rFonts w:ascii="宋体" w:cs="宋体"/>
                <w:szCs w:val="21"/>
              </w:rPr>
            </w:pPr>
            <w:r>
              <w:rPr>
                <w:rFonts w:hint="eastAsia" w:ascii="宋体" w:hAnsi="宋体" w:cs="宋体"/>
                <w:szCs w:val="21"/>
              </w:rPr>
              <w:t>套</w:t>
            </w:r>
          </w:p>
        </w:tc>
        <w:tc>
          <w:tcPr>
            <w:tcW w:w="873" w:type="dxa"/>
            <w:vAlign w:val="center"/>
          </w:tcPr>
          <w:p>
            <w:pPr>
              <w:adjustRightInd w:val="0"/>
              <w:snapToGrid w:val="0"/>
              <w:jc w:val="center"/>
              <w:rPr>
                <w:rFonts w:ascii="宋体" w:cs="宋体"/>
                <w:szCs w:val="21"/>
              </w:rPr>
            </w:pPr>
            <w:r>
              <w:rPr>
                <w:rFonts w:ascii="宋体" w:hAnsi="宋体" w:cs="宋体"/>
                <w:szCs w:val="21"/>
              </w:rPr>
              <w:t>1</w:t>
            </w:r>
          </w:p>
        </w:tc>
        <w:tc>
          <w:tcPr>
            <w:tcW w:w="1163" w:type="dxa"/>
            <w:vAlign w:val="center"/>
          </w:tcPr>
          <w:p>
            <w:pPr>
              <w:adjustRightInd w:val="0"/>
              <w:snapToGrid w:val="0"/>
              <w:jc w:val="center"/>
              <w:rPr>
                <w:rFonts w:ascii="宋体" w:cs="宋体"/>
                <w:b/>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rFonts w:ascii="宋体" w:cs="宋体"/>
                <w:szCs w:val="21"/>
              </w:rPr>
            </w:pPr>
          </w:p>
        </w:tc>
        <w:tc>
          <w:tcPr>
            <w:tcW w:w="4064" w:type="dxa"/>
            <w:vAlign w:val="center"/>
          </w:tcPr>
          <w:p>
            <w:pPr>
              <w:adjustRightInd w:val="0"/>
              <w:snapToGrid w:val="0"/>
              <w:jc w:val="center"/>
              <w:rPr>
                <w:rFonts w:ascii="宋体" w:cs="宋体"/>
                <w:kern w:val="0"/>
                <w:szCs w:val="21"/>
              </w:rPr>
            </w:pPr>
            <w:r>
              <w:rPr>
                <w:rFonts w:hint="eastAsia" w:ascii="宋体" w:hAnsi="宋体" w:cs="宋体"/>
                <w:kern w:val="0"/>
                <w:szCs w:val="21"/>
              </w:rPr>
              <w:t>每套包括</w:t>
            </w:r>
          </w:p>
        </w:tc>
        <w:tc>
          <w:tcPr>
            <w:tcW w:w="787" w:type="dxa"/>
            <w:gridSpan w:val="2"/>
            <w:vAlign w:val="center"/>
          </w:tcPr>
          <w:p>
            <w:pPr>
              <w:adjustRightInd w:val="0"/>
              <w:snapToGrid w:val="0"/>
              <w:jc w:val="center"/>
              <w:rPr>
                <w:rFonts w:ascii="宋体" w:cs="宋体"/>
                <w:szCs w:val="21"/>
              </w:rPr>
            </w:pPr>
          </w:p>
        </w:tc>
        <w:tc>
          <w:tcPr>
            <w:tcW w:w="873" w:type="dxa"/>
            <w:vAlign w:val="center"/>
          </w:tcPr>
          <w:p>
            <w:pPr>
              <w:adjustRightInd w:val="0"/>
              <w:snapToGrid w:val="0"/>
              <w:jc w:val="center"/>
              <w:rPr>
                <w:rFonts w:ascii="宋体" w:cs="宋体"/>
                <w:szCs w:val="21"/>
              </w:rPr>
            </w:pPr>
          </w:p>
        </w:tc>
        <w:tc>
          <w:tcPr>
            <w:tcW w:w="1163" w:type="dxa"/>
            <w:vAlign w:val="center"/>
          </w:tcPr>
          <w:p>
            <w:pPr>
              <w:adjustRightInd w:val="0"/>
              <w:snapToGrid w:val="0"/>
              <w:jc w:val="center"/>
              <w:rPr>
                <w:rFonts w:ascii="宋体" w:cs="宋体"/>
                <w:b/>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color w:val="000000" w:themeColor="text1"/>
                <w:szCs w:val="21"/>
              </w:rPr>
            </w:pPr>
            <w:r>
              <w:rPr>
                <w:color w:val="000000" w:themeColor="text1"/>
                <w:szCs w:val="21"/>
              </w:rPr>
              <w:t>1.1</w:t>
            </w:r>
          </w:p>
        </w:tc>
        <w:tc>
          <w:tcPr>
            <w:tcW w:w="4064" w:type="dxa"/>
            <w:vAlign w:val="center"/>
          </w:tcPr>
          <w:p>
            <w:pPr>
              <w:spacing w:line="276" w:lineRule="auto"/>
              <w:jc w:val="center"/>
              <w:rPr>
                <w:color w:val="000000" w:themeColor="text1"/>
                <w:szCs w:val="21"/>
              </w:rPr>
            </w:pPr>
            <w:r>
              <w:rPr>
                <w:color w:val="000000" w:themeColor="text1"/>
                <w:kern w:val="0"/>
                <w:szCs w:val="21"/>
              </w:rPr>
              <w:t>水文监测主站</w:t>
            </w:r>
          </w:p>
        </w:tc>
        <w:tc>
          <w:tcPr>
            <w:tcW w:w="787" w:type="dxa"/>
            <w:gridSpan w:val="2"/>
            <w:vAlign w:val="center"/>
          </w:tcPr>
          <w:p>
            <w:pPr>
              <w:adjustRightInd w:val="0"/>
              <w:snapToGrid w:val="0"/>
              <w:jc w:val="center"/>
              <w:rPr>
                <w:color w:val="000000" w:themeColor="text1"/>
                <w:szCs w:val="21"/>
              </w:rPr>
            </w:pPr>
            <w:r>
              <w:rPr>
                <w:rFonts w:hint="eastAsia"/>
                <w:color w:val="000000" w:themeColor="text1"/>
                <w:szCs w:val="21"/>
              </w:rPr>
              <w:t>台</w:t>
            </w:r>
          </w:p>
        </w:tc>
        <w:tc>
          <w:tcPr>
            <w:tcW w:w="873" w:type="dxa"/>
            <w:vAlign w:val="center"/>
          </w:tcPr>
          <w:p>
            <w:pPr>
              <w:adjustRightInd w:val="0"/>
              <w:snapToGrid w:val="0"/>
              <w:jc w:val="center"/>
              <w:rPr>
                <w:color w:val="000000" w:themeColor="text1"/>
                <w:szCs w:val="21"/>
              </w:rPr>
            </w:pPr>
            <w:r>
              <w:rPr>
                <w:color w:val="000000" w:themeColor="text1"/>
                <w:szCs w:val="21"/>
              </w:rPr>
              <w:t>1</w:t>
            </w:r>
          </w:p>
        </w:tc>
        <w:tc>
          <w:tcPr>
            <w:tcW w:w="1163" w:type="dxa"/>
            <w:vAlign w:val="center"/>
          </w:tcPr>
          <w:p>
            <w:pPr>
              <w:adjustRightInd w:val="0"/>
              <w:snapToGrid w:val="0"/>
              <w:jc w:val="center"/>
              <w:rPr>
                <w:color w:val="000000" w:themeColor="text1"/>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szCs w:val="21"/>
              </w:rPr>
              <w:t>1.2</w:t>
            </w:r>
          </w:p>
        </w:tc>
        <w:tc>
          <w:tcPr>
            <w:tcW w:w="4064" w:type="dxa"/>
            <w:vAlign w:val="center"/>
          </w:tcPr>
          <w:p>
            <w:pPr>
              <w:spacing w:line="276" w:lineRule="auto"/>
              <w:jc w:val="center"/>
              <w:rPr>
                <w:szCs w:val="21"/>
              </w:rPr>
            </w:pPr>
            <w:r>
              <w:rPr>
                <w:szCs w:val="21"/>
              </w:rPr>
              <w:t>矿用本安型水文监测分站</w:t>
            </w:r>
          </w:p>
        </w:tc>
        <w:tc>
          <w:tcPr>
            <w:tcW w:w="787" w:type="dxa"/>
            <w:gridSpan w:val="2"/>
            <w:vAlign w:val="center"/>
          </w:tcPr>
          <w:p>
            <w:pPr>
              <w:adjustRightInd w:val="0"/>
              <w:snapToGrid w:val="0"/>
              <w:jc w:val="center"/>
              <w:rPr>
                <w:szCs w:val="21"/>
              </w:rPr>
            </w:pPr>
            <w:r>
              <w:rPr>
                <w:rFonts w:hint="eastAsia"/>
                <w:szCs w:val="21"/>
              </w:rPr>
              <w:t>台</w:t>
            </w:r>
          </w:p>
        </w:tc>
        <w:tc>
          <w:tcPr>
            <w:tcW w:w="873" w:type="dxa"/>
            <w:vAlign w:val="center"/>
          </w:tcPr>
          <w:p>
            <w:pPr>
              <w:adjustRightInd w:val="0"/>
              <w:snapToGrid w:val="0"/>
              <w:jc w:val="center"/>
              <w:rPr>
                <w:szCs w:val="21"/>
              </w:rPr>
            </w:pPr>
            <w:r>
              <w:rPr>
                <w:szCs w:val="21"/>
              </w:rPr>
              <w:t>23</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szCs w:val="21"/>
              </w:rPr>
              <w:t>1.3</w:t>
            </w:r>
          </w:p>
        </w:tc>
        <w:tc>
          <w:tcPr>
            <w:tcW w:w="4064" w:type="dxa"/>
            <w:vAlign w:val="center"/>
          </w:tcPr>
          <w:p>
            <w:pPr>
              <w:spacing w:line="276" w:lineRule="auto"/>
              <w:jc w:val="center"/>
              <w:rPr>
                <w:szCs w:val="21"/>
              </w:rPr>
            </w:pPr>
            <w:r>
              <w:rPr>
                <w:szCs w:val="21"/>
              </w:rPr>
              <w:t>矿用隔爆兼本安型电源箱</w:t>
            </w:r>
          </w:p>
        </w:tc>
        <w:tc>
          <w:tcPr>
            <w:tcW w:w="787" w:type="dxa"/>
            <w:gridSpan w:val="2"/>
            <w:vAlign w:val="center"/>
          </w:tcPr>
          <w:p>
            <w:pPr>
              <w:adjustRightInd w:val="0"/>
              <w:snapToGrid w:val="0"/>
              <w:jc w:val="center"/>
              <w:rPr>
                <w:szCs w:val="21"/>
              </w:rPr>
            </w:pPr>
            <w:r>
              <w:rPr>
                <w:rFonts w:hint="eastAsia"/>
                <w:szCs w:val="21"/>
              </w:rPr>
              <w:t>台</w:t>
            </w:r>
          </w:p>
        </w:tc>
        <w:tc>
          <w:tcPr>
            <w:tcW w:w="873" w:type="dxa"/>
            <w:vAlign w:val="center"/>
          </w:tcPr>
          <w:p>
            <w:pPr>
              <w:adjustRightInd w:val="0"/>
              <w:snapToGrid w:val="0"/>
              <w:jc w:val="center"/>
              <w:rPr>
                <w:szCs w:val="21"/>
              </w:rPr>
            </w:pPr>
            <w:r>
              <w:rPr>
                <w:szCs w:val="21"/>
              </w:rPr>
              <w:t>23</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szCs w:val="21"/>
              </w:rPr>
              <w:t>1.4</w:t>
            </w:r>
          </w:p>
        </w:tc>
        <w:tc>
          <w:tcPr>
            <w:tcW w:w="4064" w:type="dxa"/>
            <w:vAlign w:val="center"/>
          </w:tcPr>
          <w:p>
            <w:pPr>
              <w:spacing w:line="276" w:lineRule="auto"/>
              <w:jc w:val="center"/>
              <w:rPr>
                <w:szCs w:val="21"/>
              </w:rPr>
            </w:pPr>
            <w:r>
              <w:rPr>
                <w:szCs w:val="21"/>
              </w:rPr>
              <w:t>矿用本安型压力传感器</w:t>
            </w:r>
          </w:p>
        </w:tc>
        <w:tc>
          <w:tcPr>
            <w:tcW w:w="787" w:type="dxa"/>
            <w:gridSpan w:val="2"/>
            <w:vAlign w:val="center"/>
          </w:tcPr>
          <w:p>
            <w:pPr>
              <w:adjustRightInd w:val="0"/>
              <w:snapToGrid w:val="0"/>
              <w:jc w:val="center"/>
              <w:rPr>
                <w:szCs w:val="21"/>
              </w:rPr>
            </w:pPr>
            <w:r>
              <w:rPr>
                <w:rFonts w:hint="eastAsia"/>
                <w:szCs w:val="21"/>
              </w:rPr>
              <w:t>台</w:t>
            </w:r>
          </w:p>
        </w:tc>
        <w:tc>
          <w:tcPr>
            <w:tcW w:w="873" w:type="dxa"/>
            <w:vAlign w:val="center"/>
          </w:tcPr>
          <w:p>
            <w:pPr>
              <w:adjustRightInd w:val="0"/>
              <w:snapToGrid w:val="0"/>
              <w:jc w:val="center"/>
              <w:rPr>
                <w:szCs w:val="21"/>
              </w:rPr>
            </w:pPr>
            <w:r>
              <w:rPr>
                <w:szCs w:val="21"/>
              </w:rPr>
              <w:t>84</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szCs w:val="21"/>
              </w:rPr>
              <w:t>1.5</w:t>
            </w:r>
          </w:p>
        </w:tc>
        <w:tc>
          <w:tcPr>
            <w:tcW w:w="4064" w:type="dxa"/>
            <w:vAlign w:val="center"/>
          </w:tcPr>
          <w:p>
            <w:pPr>
              <w:adjustRightInd w:val="0"/>
              <w:snapToGrid w:val="0"/>
              <w:jc w:val="center"/>
              <w:rPr>
                <w:szCs w:val="21"/>
              </w:rPr>
            </w:pPr>
            <w:r>
              <w:rPr>
                <w:szCs w:val="21"/>
              </w:rPr>
              <w:t>ZBZ1-4矿用隔爆型照明综保</w:t>
            </w:r>
          </w:p>
        </w:tc>
        <w:tc>
          <w:tcPr>
            <w:tcW w:w="767" w:type="dxa"/>
            <w:vAlign w:val="center"/>
          </w:tcPr>
          <w:p>
            <w:pPr>
              <w:adjustRightInd w:val="0"/>
              <w:snapToGrid w:val="0"/>
              <w:jc w:val="center"/>
              <w:rPr>
                <w:szCs w:val="21"/>
              </w:rPr>
            </w:pPr>
            <w:r>
              <w:rPr>
                <w:rFonts w:hint="eastAsia"/>
                <w:szCs w:val="21"/>
              </w:rPr>
              <w:t>台</w:t>
            </w:r>
          </w:p>
        </w:tc>
        <w:tc>
          <w:tcPr>
            <w:tcW w:w="893" w:type="dxa"/>
            <w:gridSpan w:val="2"/>
            <w:vAlign w:val="center"/>
          </w:tcPr>
          <w:p>
            <w:pPr>
              <w:adjustRightInd w:val="0"/>
              <w:snapToGrid w:val="0"/>
              <w:jc w:val="center"/>
              <w:rPr>
                <w:szCs w:val="21"/>
              </w:rPr>
            </w:pPr>
            <w:r>
              <w:rPr>
                <w:szCs w:val="21"/>
              </w:rPr>
              <w:t>10</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szCs w:val="21"/>
              </w:rPr>
              <w:t>1.</w:t>
            </w:r>
            <w:r>
              <w:rPr>
                <w:rFonts w:hint="eastAsia"/>
                <w:szCs w:val="21"/>
                <w:lang w:val="en-US" w:eastAsia="zh-CN"/>
              </w:rPr>
              <w:t>6</w:t>
            </w:r>
          </w:p>
        </w:tc>
        <w:tc>
          <w:tcPr>
            <w:tcW w:w="4064" w:type="dxa"/>
            <w:vAlign w:val="center"/>
          </w:tcPr>
          <w:p>
            <w:pPr>
              <w:adjustRightInd w:val="0"/>
              <w:snapToGrid w:val="0"/>
              <w:jc w:val="center"/>
              <w:rPr>
                <w:szCs w:val="21"/>
              </w:rPr>
            </w:pPr>
            <w:r>
              <w:rPr>
                <w:rFonts w:hint="eastAsia"/>
                <w:szCs w:val="21"/>
              </w:rPr>
              <w:t>使用说明</w:t>
            </w:r>
          </w:p>
        </w:tc>
        <w:tc>
          <w:tcPr>
            <w:tcW w:w="787" w:type="dxa"/>
            <w:gridSpan w:val="2"/>
            <w:vAlign w:val="center"/>
          </w:tcPr>
          <w:p>
            <w:pPr>
              <w:adjustRightInd w:val="0"/>
              <w:snapToGrid w:val="0"/>
              <w:jc w:val="center"/>
              <w:rPr>
                <w:szCs w:val="21"/>
              </w:rPr>
            </w:pPr>
            <w:r>
              <w:rPr>
                <w:rFonts w:hint="eastAsia"/>
                <w:szCs w:val="21"/>
              </w:rPr>
              <w:t>份</w:t>
            </w:r>
          </w:p>
        </w:tc>
        <w:tc>
          <w:tcPr>
            <w:tcW w:w="873" w:type="dxa"/>
            <w:vAlign w:val="center"/>
          </w:tcPr>
          <w:p>
            <w:pPr>
              <w:adjustRightInd w:val="0"/>
              <w:snapToGrid w:val="0"/>
              <w:jc w:val="center"/>
              <w:rPr>
                <w:szCs w:val="21"/>
              </w:rPr>
            </w:pPr>
            <w:r>
              <w:rPr>
                <w:szCs w:val="21"/>
              </w:rPr>
              <w:t>1</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trPr>
        <w:tc>
          <w:tcPr>
            <w:tcW w:w="1020" w:type="dxa"/>
            <w:vAlign w:val="center"/>
          </w:tcPr>
          <w:p>
            <w:pPr>
              <w:adjustRightInd w:val="0"/>
              <w:snapToGrid w:val="0"/>
              <w:jc w:val="center"/>
              <w:rPr>
                <w:szCs w:val="21"/>
              </w:rPr>
            </w:pPr>
            <w:r>
              <w:rPr>
                <w:rFonts w:hint="eastAsia"/>
                <w:szCs w:val="21"/>
              </w:rPr>
              <w:t>1.</w:t>
            </w:r>
            <w:r>
              <w:rPr>
                <w:rFonts w:hint="eastAsia"/>
                <w:szCs w:val="21"/>
                <w:lang w:val="en-US" w:eastAsia="zh-CN"/>
              </w:rPr>
              <w:t>7</w:t>
            </w:r>
          </w:p>
        </w:tc>
        <w:tc>
          <w:tcPr>
            <w:tcW w:w="4064" w:type="dxa"/>
            <w:vAlign w:val="center"/>
          </w:tcPr>
          <w:p>
            <w:pPr>
              <w:adjustRightInd w:val="0"/>
              <w:snapToGrid w:val="0"/>
              <w:jc w:val="center"/>
              <w:rPr>
                <w:szCs w:val="21"/>
              </w:rPr>
            </w:pPr>
            <w:r>
              <w:rPr>
                <w:rFonts w:hint="eastAsia"/>
                <w:szCs w:val="21"/>
              </w:rPr>
              <w:t>防爆、安标证书</w:t>
            </w:r>
          </w:p>
        </w:tc>
        <w:tc>
          <w:tcPr>
            <w:tcW w:w="787" w:type="dxa"/>
            <w:gridSpan w:val="2"/>
            <w:vAlign w:val="center"/>
          </w:tcPr>
          <w:p>
            <w:pPr>
              <w:adjustRightInd w:val="0"/>
              <w:snapToGrid w:val="0"/>
              <w:jc w:val="center"/>
              <w:rPr>
                <w:szCs w:val="21"/>
              </w:rPr>
            </w:pPr>
            <w:r>
              <w:rPr>
                <w:rFonts w:hint="eastAsia"/>
                <w:szCs w:val="21"/>
              </w:rPr>
              <w:t>套</w:t>
            </w:r>
          </w:p>
        </w:tc>
        <w:tc>
          <w:tcPr>
            <w:tcW w:w="873" w:type="dxa"/>
            <w:vAlign w:val="center"/>
          </w:tcPr>
          <w:p>
            <w:pPr>
              <w:adjustRightInd w:val="0"/>
              <w:snapToGrid w:val="0"/>
              <w:jc w:val="center"/>
              <w:rPr>
                <w:szCs w:val="21"/>
              </w:rPr>
            </w:pPr>
            <w:r>
              <w:rPr>
                <w:szCs w:val="21"/>
              </w:rPr>
              <w:t>1</w:t>
            </w:r>
          </w:p>
        </w:tc>
        <w:tc>
          <w:tcPr>
            <w:tcW w:w="1163" w:type="dxa"/>
            <w:vAlign w:val="center"/>
          </w:tcPr>
          <w:p>
            <w:pPr>
              <w:adjustRightInd w:val="0"/>
              <w:snapToGrid w:val="0"/>
              <w:jc w:val="center"/>
              <w:rPr>
                <w:szCs w:val="21"/>
              </w:rPr>
            </w:pPr>
          </w:p>
        </w:tc>
        <w:tc>
          <w:tcPr>
            <w:tcW w:w="1303" w:type="dxa"/>
            <w:vAlign w:val="center"/>
          </w:tcPr>
          <w:p>
            <w:pPr>
              <w:adjustRightInd w:val="0"/>
              <w:snapToGrid w:val="0"/>
              <w:jc w:val="center"/>
              <w:rPr>
                <w:rFonts w:ascii="宋体" w:cs="宋体"/>
                <w:szCs w:val="21"/>
              </w:rPr>
            </w:pPr>
          </w:p>
        </w:tc>
      </w:tr>
    </w:tbl>
    <w:p>
      <w:pPr>
        <w:adjustRightInd w:val="0"/>
        <w:snapToGrid w:val="0"/>
        <w:spacing w:before="312" w:beforeLines="100" w:after="312" w:afterLines="100" w:line="360" w:lineRule="auto"/>
        <w:rPr>
          <w:b/>
        </w:rPr>
      </w:pPr>
      <w:r>
        <w:rPr>
          <w:rFonts w:hint="eastAsia"/>
          <w:b/>
        </w:rPr>
        <w:t>二、工作环境</w:t>
      </w:r>
    </w:p>
    <w:p>
      <w:pPr>
        <w:adjustRightInd w:val="0"/>
        <w:snapToGrid w:val="0"/>
        <w:spacing w:line="360" w:lineRule="auto"/>
        <w:rPr>
          <w:szCs w:val="21"/>
        </w:rPr>
      </w:pPr>
      <w:r>
        <w:rPr>
          <w:szCs w:val="21"/>
        </w:rPr>
        <w:t xml:space="preserve">1 </w:t>
      </w:r>
      <w:r>
        <w:rPr>
          <w:rFonts w:hint="eastAsia"/>
          <w:szCs w:val="21"/>
        </w:rPr>
        <w:t>系统中用于机房、调度室的设备，能在下列条件下正常工作：</w:t>
      </w:r>
    </w:p>
    <w:p>
      <w:pPr>
        <w:spacing w:line="360" w:lineRule="auto"/>
        <w:ind w:firstLine="420" w:firstLineChars="200"/>
        <w:rPr>
          <w:szCs w:val="21"/>
        </w:rPr>
      </w:pPr>
      <w:r>
        <w:rPr>
          <w:szCs w:val="21"/>
        </w:rPr>
        <w:t>1</w:t>
      </w:r>
      <w:r>
        <w:rPr>
          <w:rFonts w:hint="eastAsia"/>
          <w:szCs w:val="21"/>
        </w:rPr>
        <w:t>）</w:t>
      </w:r>
      <w:r>
        <w:rPr>
          <w:szCs w:val="21"/>
        </w:rPr>
        <w:t>环境温度：10</w:t>
      </w:r>
      <w:r>
        <w:rPr>
          <w:rFonts w:hint="eastAsia"/>
          <w:szCs w:val="21"/>
        </w:rPr>
        <w:t>℃</w:t>
      </w:r>
      <w:r>
        <w:rPr>
          <w:szCs w:val="21"/>
        </w:rPr>
        <w:t>～35</w:t>
      </w:r>
      <w:r>
        <w:rPr>
          <w:rFonts w:hint="eastAsia"/>
          <w:szCs w:val="21"/>
        </w:rPr>
        <w:t>℃</w:t>
      </w:r>
      <w:r>
        <w:rPr>
          <w:szCs w:val="21"/>
        </w:rPr>
        <w:t>；</w:t>
      </w:r>
    </w:p>
    <w:p>
      <w:pPr>
        <w:spacing w:line="360" w:lineRule="auto"/>
        <w:ind w:firstLine="420" w:firstLineChars="200"/>
        <w:rPr>
          <w:szCs w:val="21"/>
        </w:rPr>
      </w:pPr>
      <w:r>
        <w:rPr>
          <w:szCs w:val="21"/>
        </w:rPr>
        <w:t>2</w:t>
      </w:r>
      <w:r>
        <w:rPr>
          <w:rFonts w:hint="eastAsia"/>
          <w:szCs w:val="21"/>
        </w:rPr>
        <w:t>）</w:t>
      </w:r>
      <w:r>
        <w:rPr>
          <w:szCs w:val="21"/>
        </w:rPr>
        <w:t>相对湿度：40%～70%；</w:t>
      </w:r>
      <w:bookmarkStart w:id="8" w:name="_GoBack"/>
      <w:bookmarkEnd w:id="8"/>
    </w:p>
    <w:p>
      <w:pPr>
        <w:spacing w:line="360" w:lineRule="auto"/>
        <w:ind w:firstLine="420" w:firstLineChars="200"/>
        <w:rPr>
          <w:szCs w:val="21"/>
        </w:rPr>
      </w:pPr>
      <w:r>
        <w:rPr>
          <w:szCs w:val="21"/>
        </w:rPr>
        <w:t>3</w:t>
      </w:r>
      <w:r>
        <w:rPr>
          <w:rFonts w:hint="eastAsia"/>
          <w:szCs w:val="21"/>
        </w:rPr>
        <w:t>）</w:t>
      </w:r>
      <w:r>
        <w:rPr>
          <w:szCs w:val="21"/>
        </w:rPr>
        <w:t>温度变化率：小于10</w:t>
      </w:r>
      <w:r>
        <w:rPr>
          <w:rFonts w:hint="eastAsia"/>
          <w:szCs w:val="21"/>
        </w:rPr>
        <w:t>℃</w:t>
      </w:r>
      <w:r>
        <w:rPr>
          <w:szCs w:val="21"/>
        </w:rPr>
        <w:t>/h，且不得结露；</w:t>
      </w:r>
    </w:p>
    <w:p>
      <w:pPr>
        <w:spacing w:line="360" w:lineRule="auto"/>
        <w:ind w:firstLine="420" w:firstLineChars="200"/>
        <w:rPr>
          <w:szCs w:val="21"/>
        </w:rPr>
      </w:pPr>
      <w:r>
        <w:rPr>
          <w:szCs w:val="21"/>
        </w:rPr>
        <w:t>4</w:t>
      </w:r>
      <w:r>
        <w:rPr>
          <w:rFonts w:hint="eastAsia"/>
          <w:szCs w:val="21"/>
        </w:rPr>
        <w:t>）</w:t>
      </w:r>
      <w:r>
        <w:rPr>
          <w:szCs w:val="21"/>
        </w:rPr>
        <w:t>大气压力：80 KPa～106KPa；</w:t>
      </w:r>
    </w:p>
    <w:p>
      <w:pPr>
        <w:spacing w:line="360" w:lineRule="auto"/>
        <w:ind w:firstLine="420" w:firstLineChars="200"/>
        <w:rPr>
          <w:szCs w:val="21"/>
        </w:rPr>
      </w:pPr>
      <w:r>
        <w:rPr>
          <w:szCs w:val="21"/>
        </w:rPr>
        <w:t>5</w:t>
      </w:r>
      <w:r>
        <w:rPr>
          <w:rFonts w:hint="eastAsia"/>
          <w:szCs w:val="21"/>
        </w:rPr>
        <w:t>）</w:t>
      </w:r>
      <w:r>
        <w:rPr>
          <w:szCs w:val="21"/>
        </w:rPr>
        <w:t>GB/T 2887规定的尘埃、照明、噪声、电磁干扰和接地条件。</w:t>
      </w:r>
    </w:p>
    <w:p>
      <w:pPr>
        <w:adjustRightInd w:val="0"/>
        <w:snapToGrid w:val="0"/>
        <w:spacing w:line="360" w:lineRule="auto"/>
        <w:rPr>
          <w:szCs w:val="21"/>
        </w:rPr>
      </w:pPr>
      <w:r>
        <w:rPr>
          <w:szCs w:val="21"/>
        </w:rPr>
        <w:t>2 系统中用于煤矿井下的设备，能在下列条件下正常工作：</w:t>
      </w:r>
    </w:p>
    <w:p>
      <w:pPr>
        <w:spacing w:line="360" w:lineRule="auto"/>
        <w:ind w:firstLine="420" w:firstLineChars="200"/>
        <w:rPr>
          <w:szCs w:val="21"/>
        </w:rPr>
      </w:pPr>
      <w:r>
        <w:rPr>
          <w:szCs w:val="21"/>
        </w:rPr>
        <w:t>1）环境温度：0～40</w:t>
      </w:r>
      <w:r>
        <w:rPr>
          <w:rFonts w:hint="eastAsia" w:ascii="宋体" w:hAnsi="宋体" w:cs="宋体"/>
          <w:szCs w:val="21"/>
        </w:rPr>
        <w:t>℃</w:t>
      </w:r>
      <w:r>
        <w:rPr>
          <w:szCs w:val="21"/>
        </w:rPr>
        <w:t>；</w:t>
      </w:r>
    </w:p>
    <w:p>
      <w:pPr>
        <w:pStyle w:val="18"/>
        <w:numPr>
          <w:ilvl w:val="0"/>
          <w:numId w:val="4"/>
        </w:numPr>
        <w:spacing w:line="360" w:lineRule="auto"/>
        <w:ind w:firstLineChars="0"/>
        <w:rPr>
          <w:rFonts w:ascii="Times New Roman" w:hAnsi="Times New Roman"/>
          <w:szCs w:val="21"/>
        </w:rPr>
      </w:pPr>
      <w:r>
        <w:rPr>
          <w:rFonts w:ascii="Times New Roman" w:hAnsi="Times New Roman"/>
          <w:szCs w:val="21"/>
        </w:rPr>
        <w:t>平均相对湿度：不大于95%(+25</w:t>
      </w:r>
      <w:r>
        <w:rPr>
          <w:rFonts w:hint="eastAsia" w:ascii="宋体" w:hAnsi="宋体" w:cs="宋体"/>
          <w:szCs w:val="21"/>
        </w:rPr>
        <w:t>℃</w:t>
      </w:r>
      <w:r>
        <w:rPr>
          <w:rFonts w:ascii="Times New Roman" w:hAnsi="Times New Roman"/>
          <w:szCs w:val="21"/>
        </w:rPr>
        <w:t>)；</w:t>
      </w:r>
    </w:p>
    <w:p>
      <w:pPr>
        <w:spacing w:line="360" w:lineRule="auto"/>
        <w:ind w:firstLine="420" w:firstLineChars="200"/>
        <w:rPr>
          <w:szCs w:val="21"/>
        </w:rPr>
      </w:pPr>
      <w:r>
        <w:rPr>
          <w:szCs w:val="21"/>
        </w:rPr>
        <w:t>3）大气压力：80 KPa～106KPa；</w:t>
      </w:r>
    </w:p>
    <w:p>
      <w:pPr>
        <w:spacing w:line="360" w:lineRule="auto"/>
        <w:ind w:firstLine="420" w:firstLineChars="200"/>
        <w:rPr>
          <w:szCs w:val="21"/>
        </w:rPr>
      </w:pPr>
      <w:r>
        <w:rPr>
          <w:szCs w:val="21"/>
        </w:rPr>
        <w:t>4）有爆炸性气体混合物，但无显著震动和冲击、无破坏绝缘的腐蚀性气体。</w:t>
      </w:r>
    </w:p>
    <w:p>
      <w:pPr>
        <w:spacing w:line="360" w:lineRule="auto"/>
        <w:rPr>
          <w:szCs w:val="21"/>
        </w:rPr>
      </w:pPr>
      <w:r>
        <w:rPr>
          <w:rFonts w:hint="eastAsia"/>
          <w:szCs w:val="21"/>
        </w:rPr>
        <w:t>3 供电电源</w:t>
      </w:r>
    </w:p>
    <w:p>
      <w:pPr>
        <w:spacing w:line="360" w:lineRule="auto"/>
        <w:ind w:firstLine="420" w:firstLineChars="200"/>
        <w:rPr>
          <w:szCs w:val="21"/>
        </w:rPr>
      </w:pPr>
      <w:r>
        <w:rPr>
          <w:rFonts w:hint="eastAsia"/>
          <w:szCs w:val="21"/>
        </w:rPr>
        <w:t>系统中地面设备由交流供电，供电电源：</w:t>
      </w:r>
    </w:p>
    <w:p>
      <w:pPr>
        <w:spacing w:line="360" w:lineRule="auto"/>
        <w:ind w:firstLine="420" w:firstLineChars="200"/>
        <w:rPr>
          <w:szCs w:val="21"/>
        </w:rPr>
      </w:pPr>
      <w:r>
        <w:rPr>
          <w:rFonts w:hint="eastAsia"/>
          <w:szCs w:val="21"/>
        </w:rPr>
        <w:t>1）</w:t>
      </w:r>
      <w:r>
        <w:rPr>
          <w:szCs w:val="21"/>
        </w:rPr>
        <w:t>额定电压：220 V，允许偏差－10% ～ 10%；</w:t>
      </w:r>
    </w:p>
    <w:p>
      <w:pPr>
        <w:spacing w:line="360" w:lineRule="auto"/>
        <w:ind w:firstLine="420" w:firstLineChars="200"/>
        <w:rPr>
          <w:szCs w:val="21"/>
        </w:rPr>
      </w:pPr>
      <w:r>
        <w:rPr>
          <w:szCs w:val="21"/>
        </w:rPr>
        <w:t>2</w:t>
      </w:r>
      <w:r>
        <w:rPr>
          <w:rFonts w:hint="eastAsia"/>
          <w:szCs w:val="21"/>
        </w:rPr>
        <w:t>）</w:t>
      </w:r>
      <w:r>
        <w:rPr>
          <w:szCs w:val="21"/>
        </w:rPr>
        <w:t>谐波：不大于5%；</w:t>
      </w:r>
    </w:p>
    <w:p>
      <w:pPr>
        <w:spacing w:line="360" w:lineRule="auto"/>
        <w:ind w:firstLine="420" w:firstLineChars="200"/>
        <w:rPr>
          <w:szCs w:val="21"/>
        </w:rPr>
      </w:pPr>
      <w:r>
        <w:rPr>
          <w:rFonts w:hint="eastAsia"/>
          <w:szCs w:val="21"/>
        </w:rPr>
        <w:t>3）</w:t>
      </w:r>
      <w:r>
        <w:rPr>
          <w:szCs w:val="21"/>
        </w:rPr>
        <w:t>频率：50 Hz，允许偏差±5%。</w:t>
      </w:r>
    </w:p>
    <w:p>
      <w:pPr>
        <w:spacing w:line="360" w:lineRule="auto"/>
        <w:ind w:firstLine="420" w:firstLineChars="200"/>
        <w:rPr>
          <w:szCs w:val="21"/>
        </w:rPr>
      </w:pPr>
      <w:r>
        <w:rPr>
          <w:szCs w:val="21"/>
        </w:rPr>
        <w:t>系统中井下设备由交流供电，供电电源：</w:t>
      </w:r>
    </w:p>
    <w:p>
      <w:pPr>
        <w:spacing w:line="360" w:lineRule="auto"/>
        <w:ind w:firstLine="420" w:firstLineChars="200"/>
        <w:rPr>
          <w:szCs w:val="21"/>
        </w:rPr>
      </w:pPr>
      <w:r>
        <w:rPr>
          <w:rFonts w:hint="eastAsia"/>
          <w:szCs w:val="21"/>
        </w:rPr>
        <w:t>1）</w:t>
      </w:r>
      <w:r>
        <w:rPr>
          <w:szCs w:val="21"/>
        </w:rPr>
        <w:t>额定电压：127 V, 允许偏差－25% ～ 10%；</w:t>
      </w:r>
    </w:p>
    <w:p>
      <w:pPr>
        <w:spacing w:line="360" w:lineRule="auto"/>
        <w:ind w:firstLine="420" w:firstLineChars="200"/>
        <w:rPr>
          <w:szCs w:val="21"/>
        </w:rPr>
      </w:pPr>
      <w:r>
        <w:rPr>
          <w:szCs w:val="21"/>
        </w:rPr>
        <w:t>2</w:t>
      </w:r>
      <w:r>
        <w:rPr>
          <w:rFonts w:hint="eastAsia"/>
          <w:szCs w:val="21"/>
        </w:rPr>
        <w:t>）</w:t>
      </w:r>
      <w:r>
        <w:rPr>
          <w:szCs w:val="21"/>
        </w:rPr>
        <w:t>谐波：不大于10%；</w:t>
      </w:r>
    </w:p>
    <w:p>
      <w:pPr>
        <w:spacing w:line="360" w:lineRule="auto"/>
        <w:ind w:firstLine="420" w:firstLineChars="200"/>
        <w:rPr>
          <w:szCs w:val="21"/>
        </w:rPr>
      </w:pPr>
      <w:r>
        <w:rPr>
          <w:rFonts w:hint="eastAsia"/>
          <w:szCs w:val="21"/>
        </w:rPr>
        <w:t>3）</w:t>
      </w:r>
      <w:r>
        <w:rPr>
          <w:szCs w:val="21"/>
        </w:rPr>
        <w:t>频率：50 Hz，允许偏差±5%。</w:t>
      </w:r>
    </w:p>
    <w:p>
      <w:pPr>
        <w:adjustRightInd w:val="0"/>
        <w:snapToGrid w:val="0"/>
        <w:spacing w:before="312" w:beforeLines="100" w:after="312" w:afterLines="100" w:line="360" w:lineRule="auto"/>
        <w:rPr>
          <w:b/>
        </w:rPr>
      </w:pPr>
      <w:r>
        <w:rPr>
          <w:rFonts w:hint="eastAsia"/>
          <w:b/>
        </w:rPr>
        <w:t>三、技术参数及要求</w:t>
      </w:r>
    </w:p>
    <w:p>
      <w:pPr>
        <w:spacing w:line="360" w:lineRule="auto"/>
        <w:rPr>
          <w:szCs w:val="21"/>
        </w:rPr>
      </w:pPr>
      <w:r>
        <w:rPr>
          <w:szCs w:val="21"/>
        </w:rPr>
        <w:t>1.技术参数</w:t>
      </w:r>
    </w:p>
    <w:p>
      <w:pPr>
        <w:spacing w:line="360" w:lineRule="auto"/>
        <w:rPr>
          <w:szCs w:val="21"/>
        </w:rPr>
      </w:pPr>
      <w:r>
        <w:rPr>
          <w:rFonts w:hint="eastAsia" w:ascii="宋体" w:hAnsi="宋体"/>
          <w:szCs w:val="21"/>
        </w:rPr>
        <w:t>*</w:t>
      </w:r>
      <w:r>
        <w:rPr>
          <w:szCs w:val="21"/>
        </w:rPr>
        <w:t xml:space="preserve">1.1 </w:t>
      </w:r>
      <w:r>
        <w:rPr>
          <w:rFonts w:hint="eastAsia"/>
          <w:szCs w:val="21"/>
        </w:rPr>
        <w:t>主站的主要技术参数</w:t>
      </w:r>
    </w:p>
    <w:p>
      <w:pPr>
        <w:spacing w:line="360" w:lineRule="auto"/>
        <w:ind w:firstLine="420" w:firstLineChars="200"/>
        <w:rPr>
          <w:color w:val="000000" w:themeColor="text1"/>
          <w:szCs w:val="21"/>
        </w:rPr>
      </w:pPr>
      <w:r>
        <w:rPr>
          <w:rFonts w:hint="eastAsia"/>
          <w:color w:val="000000" w:themeColor="text1"/>
          <w:szCs w:val="21"/>
        </w:rPr>
        <w:t>1）系统允许接入子站数量为127台。</w:t>
      </w:r>
    </w:p>
    <w:p>
      <w:pPr>
        <w:spacing w:line="360" w:lineRule="auto"/>
        <w:ind w:firstLine="420" w:firstLineChars="200"/>
        <w:rPr>
          <w:szCs w:val="21"/>
        </w:rPr>
      </w:pPr>
      <w:r>
        <w:rPr>
          <w:szCs w:val="21"/>
        </w:rPr>
        <w:t>2</w:t>
      </w:r>
      <w:r>
        <w:rPr>
          <w:rFonts w:hint="eastAsia"/>
          <w:szCs w:val="21"/>
        </w:rPr>
        <w:t>）巡检周期≤30s。</w:t>
      </w:r>
    </w:p>
    <w:p>
      <w:pPr>
        <w:spacing w:line="360" w:lineRule="auto"/>
        <w:ind w:firstLine="420" w:firstLineChars="200"/>
        <w:rPr>
          <w:szCs w:val="21"/>
        </w:rPr>
      </w:pPr>
      <w:r>
        <w:rPr>
          <w:szCs w:val="21"/>
        </w:rPr>
        <w:t>3</w:t>
      </w:r>
      <w:r>
        <w:rPr>
          <w:rFonts w:hint="eastAsia"/>
          <w:szCs w:val="21"/>
        </w:rPr>
        <w:t>）画面响应时间</w:t>
      </w:r>
      <w:r>
        <w:rPr>
          <w:szCs w:val="21"/>
        </w:rPr>
        <w:t>调出整幅画面85%的响应时间不大于2 s，其余画面不大于5 s。</w:t>
      </w:r>
    </w:p>
    <w:p>
      <w:pPr>
        <w:spacing w:line="360" w:lineRule="auto"/>
        <w:ind w:firstLine="420" w:firstLineChars="200"/>
        <w:rPr>
          <w:color w:val="000000" w:themeColor="text1"/>
          <w:szCs w:val="21"/>
        </w:rPr>
      </w:pPr>
      <w:r>
        <w:rPr>
          <w:color w:val="000000" w:themeColor="text1"/>
          <w:szCs w:val="21"/>
        </w:rPr>
        <w:t>4</w:t>
      </w:r>
      <w:r>
        <w:rPr>
          <w:rFonts w:hint="eastAsia"/>
          <w:color w:val="000000" w:themeColor="text1"/>
          <w:szCs w:val="21"/>
        </w:rPr>
        <w:t>）系统传输误码率不大于</w:t>
      </w:r>
      <w:r>
        <w:rPr>
          <w:color w:val="000000" w:themeColor="text1"/>
        </w:rPr>
        <w:t>5×10</w:t>
      </w:r>
      <w:r>
        <w:rPr>
          <w:color w:val="000000" w:themeColor="text1"/>
          <w:sz w:val="24"/>
          <w:vertAlign w:val="superscript"/>
        </w:rPr>
        <w:t>-8</w:t>
      </w:r>
      <w:r>
        <w:rPr>
          <w:rFonts w:hint="eastAsia"/>
          <w:color w:val="000000" w:themeColor="text1"/>
          <w:szCs w:val="21"/>
        </w:rPr>
        <w:t>。</w:t>
      </w:r>
    </w:p>
    <w:p>
      <w:pPr>
        <w:spacing w:line="360" w:lineRule="auto"/>
        <w:ind w:firstLine="420" w:firstLineChars="200"/>
        <w:rPr>
          <w:color w:val="000000" w:themeColor="text1"/>
          <w:szCs w:val="21"/>
        </w:rPr>
      </w:pPr>
      <w:r>
        <w:rPr>
          <w:color w:val="000000" w:themeColor="text1"/>
          <w:szCs w:val="21"/>
        </w:rPr>
        <w:t>5</w:t>
      </w:r>
      <w:r>
        <w:rPr>
          <w:rFonts w:hint="eastAsia"/>
          <w:color w:val="000000" w:themeColor="text1"/>
          <w:szCs w:val="21"/>
        </w:rPr>
        <w:t>）传输处理误差：</w:t>
      </w:r>
      <w:r>
        <w:rPr>
          <w:color w:val="000000" w:themeColor="text1"/>
          <w:szCs w:val="21"/>
        </w:rPr>
        <w:t>对分站所采集的模拟量（电流：4 mA～20 mA），系统传输处理误差不大于</w:t>
      </w:r>
      <w:r>
        <w:rPr>
          <w:rFonts w:hint="eastAsia"/>
          <w:color w:val="000000" w:themeColor="text1"/>
          <w:szCs w:val="21"/>
        </w:rPr>
        <w:t>1%</w:t>
      </w:r>
      <w:r>
        <w:rPr>
          <w:color w:val="000000" w:themeColor="text1"/>
          <w:szCs w:val="21"/>
        </w:rPr>
        <w:t>。</w:t>
      </w:r>
    </w:p>
    <w:p>
      <w:pPr>
        <w:spacing w:line="360" w:lineRule="auto"/>
        <w:ind w:firstLine="420" w:firstLineChars="200"/>
        <w:rPr>
          <w:color w:val="000000" w:themeColor="text1"/>
          <w:szCs w:val="21"/>
        </w:rPr>
      </w:pPr>
      <w:r>
        <w:rPr>
          <w:color w:val="000000" w:themeColor="text1"/>
          <w:szCs w:val="21"/>
        </w:rPr>
        <w:t>6</w:t>
      </w:r>
      <w:r>
        <w:rPr>
          <w:rFonts w:hint="eastAsia"/>
          <w:color w:val="000000" w:themeColor="text1"/>
          <w:szCs w:val="21"/>
        </w:rPr>
        <w:t>）通信方式：以太网和RS232。</w:t>
      </w:r>
    </w:p>
    <w:p>
      <w:pPr>
        <w:spacing w:line="360" w:lineRule="auto"/>
        <w:ind w:firstLine="420" w:firstLineChars="200"/>
        <w:rPr>
          <w:szCs w:val="21"/>
        </w:rPr>
      </w:pPr>
      <w:r>
        <w:rPr>
          <w:szCs w:val="21"/>
        </w:rPr>
        <w:t>7</w:t>
      </w:r>
      <w:r>
        <w:rPr>
          <w:rFonts w:hint="eastAsia"/>
          <w:szCs w:val="21"/>
        </w:rPr>
        <w:t>）存储时间：水压、水位、流量等数据记录保存时间一年以上，存储容量不小于1T，当系统主机发生故障时，以上数据丢失的时间长度小于5min。</w:t>
      </w:r>
    </w:p>
    <w:p>
      <w:pPr>
        <w:spacing w:line="360" w:lineRule="auto"/>
        <w:ind w:firstLine="420" w:firstLineChars="200"/>
        <w:rPr>
          <w:rFonts w:hint="eastAsia"/>
          <w:szCs w:val="21"/>
        </w:rPr>
      </w:pPr>
      <w:r>
        <w:rPr>
          <w:rFonts w:hint="eastAsia"/>
          <w:szCs w:val="21"/>
        </w:rPr>
        <w:t>8）工作电压：220V。</w:t>
      </w:r>
    </w:p>
    <w:p>
      <w:pPr>
        <w:spacing w:line="360" w:lineRule="auto"/>
        <w:ind w:firstLine="420" w:firstLineChars="200"/>
        <w:rPr>
          <w:szCs w:val="21"/>
        </w:rPr>
      </w:pPr>
      <w:r>
        <w:rPr>
          <w:szCs w:val="21"/>
        </w:rPr>
        <w:t>9</w:t>
      </w:r>
      <w:r>
        <w:rPr>
          <w:rFonts w:hint="eastAsia"/>
          <w:szCs w:val="21"/>
        </w:rPr>
        <w:t>）防护等级：IP</w:t>
      </w:r>
      <w:r>
        <w:rPr>
          <w:szCs w:val="21"/>
        </w:rPr>
        <w:t>20</w:t>
      </w:r>
      <w:r>
        <w:rPr>
          <w:rFonts w:hint="eastAsia"/>
          <w:szCs w:val="21"/>
        </w:rPr>
        <w:t>。</w:t>
      </w:r>
    </w:p>
    <w:p>
      <w:pPr>
        <w:spacing w:line="360" w:lineRule="auto"/>
        <w:ind w:firstLine="420" w:firstLineChars="200"/>
        <w:rPr>
          <w:color w:val="000000" w:themeColor="text1"/>
          <w:szCs w:val="21"/>
        </w:rPr>
      </w:pPr>
      <w:r>
        <w:rPr>
          <w:color w:val="000000" w:themeColor="text1"/>
          <w:szCs w:val="21"/>
        </w:rPr>
        <w:t>10</w:t>
      </w:r>
      <w:r>
        <w:rPr>
          <w:rFonts w:hint="eastAsia"/>
          <w:color w:val="000000" w:themeColor="text1"/>
          <w:szCs w:val="21"/>
        </w:rPr>
        <w:t>）MA安全标志。</w:t>
      </w:r>
    </w:p>
    <w:p>
      <w:pPr>
        <w:spacing w:line="360" w:lineRule="auto"/>
        <w:rPr>
          <w:color w:val="000000" w:themeColor="text1"/>
          <w:szCs w:val="21"/>
        </w:rPr>
      </w:pPr>
      <w:r>
        <w:rPr>
          <w:rFonts w:hint="eastAsia" w:ascii="宋体" w:hAnsi="宋体"/>
          <w:szCs w:val="21"/>
        </w:rPr>
        <w:t>*</w:t>
      </w:r>
      <w:r>
        <w:rPr>
          <w:color w:val="000000" w:themeColor="text1"/>
          <w:szCs w:val="21"/>
        </w:rPr>
        <w:t xml:space="preserve">1.2 </w:t>
      </w:r>
      <w:r>
        <w:rPr>
          <w:rFonts w:hint="eastAsia"/>
          <w:color w:val="000000" w:themeColor="text1"/>
          <w:szCs w:val="21"/>
        </w:rPr>
        <w:t>水文监测分站主要技术参数</w:t>
      </w:r>
    </w:p>
    <w:p>
      <w:pPr>
        <w:ind w:firstLine="420" w:firstLineChars="200"/>
      </w:pPr>
      <w:r>
        <w:rPr>
          <w:szCs w:val="21"/>
        </w:rPr>
        <w:t>1</w:t>
      </w:r>
      <w:r>
        <w:t>）供电性能（2路供电）</w:t>
      </w:r>
    </w:p>
    <w:p>
      <w:pPr>
        <w:spacing w:line="360" w:lineRule="auto"/>
        <w:ind w:left="403" w:firstLine="210" w:firstLineChars="100"/>
        <w:rPr>
          <w:color w:val="000000" w:themeColor="text1"/>
        </w:rPr>
      </w:pPr>
      <w:r>
        <w:rPr>
          <w:color w:val="000000" w:themeColor="text1"/>
        </w:rPr>
        <w:t>第一路：主板供电参数</w:t>
      </w:r>
    </w:p>
    <w:p>
      <w:pPr>
        <w:spacing w:line="360" w:lineRule="auto"/>
        <w:ind w:left="403" w:firstLine="210" w:firstLineChars="100"/>
        <w:rPr>
          <w:color w:val="000000" w:themeColor="text1"/>
        </w:rPr>
      </w:pPr>
      <w:r>
        <w:rPr>
          <w:color w:val="000000" w:themeColor="text1"/>
        </w:rPr>
        <w:t>a</w:t>
      </w:r>
      <w:r>
        <w:rPr>
          <w:rFonts w:hint="eastAsia"/>
          <w:color w:val="000000" w:themeColor="text1"/>
        </w:rPr>
        <w:t>）</w:t>
      </w:r>
      <w:r>
        <w:rPr>
          <w:color w:val="000000" w:themeColor="text1"/>
        </w:rPr>
        <w:t>工作电压：DC 18V；</w:t>
      </w:r>
    </w:p>
    <w:p>
      <w:pPr>
        <w:spacing w:line="360" w:lineRule="auto"/>
        <w:ind w:left="403" w:firstLine="210" w:firstLineChars="100"/>
        <w:rPr>
          <w:color w:val="000000" w:themeColor="text1"/>
        </w:rPr>
      </w:pPr>
      <w:r>
        <w:rPr>
          <w:color w:val="000000" w:themeColor="text1"/>
        </w:rPr>
        <w:t>b</w:t>
      </w:r>
      <w:r>
        <w:rPr>
          <w:rFonts w:hint="eastAsia"/>
          <w:color w:val="000000" w:themeColor="text1"/>
        </w:rPr>
        <w:t>）</w:t>
      </w:r>
      <w:r>
        <w:rPr>
          <w:color w:val="000000" w:themeColor="text1"/>
        </w:rPr>
        <w:t>工作电流：不大于180mA。</w:t>
      </w:r>
    </w:p>
    <w:p>
      <w:pPr>
        <w:spacing w:line="360" w:lineRule="auto"/>
        <w:ind w:left="403" w:firstLine="210" w:firstLineChars="100"/>
        <w:rPr>
          <w:color w:val="000000" w:themeColor="text1"/>
        </w:rPr>
      </w:pPr>
      <w:r>
        <w:rPr>
          <w:color w:val="000000" w:themeColor="text1"/>
        </w:rPr>
        <w:t>第二路：以太网板供电参数</w:t>
      </w:r>
    </w:p>
    <w:p>
      <w:pPr>
        <w:spacing w:line="360" w:lineRule="auto"/>
        <w:ind w:left="403" w:firstLine="210" w:firstLineChars="100"/>
        <w:rPr>
          <w:color w:val="000000" w:themeColor="text1"/>
        </w:rPr>
      </w:pPr>
      <w:r>
        <w:rPr>
          <w:color w:val="000000" w:themeColor="text1"/>
        </w:rPr>
        <w:t>a</w:t>
      </w:r>
      <w:r>
        <w:rPr>
          <w:rFonts w:hint="eastAsia"/>
          <w:color w:val="000000" w:themeColor="text1"/>
        </w:rPr>
        <w:t>）</w:t>
      </w:r>
      <w:r>
        <w:rPr>
          <w:color w:val="000000" w:themeColor="text1"/>
        </w:rPr>
        <w:t>工作电压：DC 12V；</w:t>
      </w:r>
    </w:p>
    <w:p>
      <w:pPr>
        <w:spacing w:line="360" w:lineRule="auto"/>
        <w:ind w:left="403" w:firstLine="210" w:firstLineChars="100"/>
        <w:rPr>
          <w:color w:val="000000" w:themeColor="text1"/>
        </w:rPr>
      </w:pPr>
      <w:r>
        <w:rPr>
          <w:color w:val="000000" w:themeColor="text1"/>
        </w:rPr>
        <w:t>b</w:t>
      </w:r>
      <w:r>
        <w:rPr>
          <w:rFonts w:hint="eastAsia"/>
          <w:color w:val="000000" w:themeColor="text1"/>
        </w:rPr>
        <w:t>）</w:t>
      </w:r>
      <w:r>
        <w:rPr>
          <w:color w:val="000000" w:themeColor="text1"/>
        </w:rPr>
        <w:t>工作电流：不大于250mA。</w:t>
      </w:r>
    </w:p>
    <w:p>
      <w:pPr>
        <w:spacing w:line="360" w:lineRule="auto"/>
        <w:ind w:firstLine="420" w:firstLineChars="200"/>
        <w:rPr>
          <w:color w:val="000000" w:themeColor="text1"/>
          <w:szCs w:val="21"/>
        </w:rPr>
      </w:pPr>
      <w:r>
        <w:rPr>
          <w:color w:val="000000" w:themeColor="text1"/>
          <w:szCs w:val="21"/>
        </w:rPr>
        <w:t>2</w:t>
      </w:r>
      <w:r>
        <w:rPr>
          <w:color w:val="000000" w:themeColor="text1"/>
        </w:rPr>
        <w:t>）</w:t>
      </w:r>
      <w:r>
        <w:rPr>
          <w:color w:val="000000" w:themeColor="text1"/>
          <w:szCs w:val="21"/>
        </w:rPr>
        <w:t>模拟量信号输入参数（6路模拟量信号3选1）</w:t>
      </w:r>
    </w:p>
    <w:p>
      <w:pPr>
        <w:spacing w:line="360" w:lineRule="auto"/>
        <w:ind w:firstLine="630" w:firstLineChars="300"/>
        <w:rPr>
          <w:color w:val="000000" w:themeColor="text1"/>
          <w:szCs w:val="21"/>
        </w:rPr>
      </w:pPr>
      <w:r>
        <w:rPr>
          <w:color w:val="000000" w:themeColor="text1"/>
          <w:szCs w:val="21"/>
        </w:rPr>
        <w:t>a</w:t>
      </w:r>
      <w:r>
        <w:rPr>
          <w:rFonts w:hint="eastAsia"/>
          <w:color w:val="000000" w:themeColor="text1"/>
          <w:szCs w:val="21"/>
        </w:rPr>
        <w:t>）</w:t>
      </w:r>
      <w:r>
        <w:rPr>
          <w:color w:val="000000" w:themeColor="text1"/>
          <w:szCs w:val="21"/>
        </w:rPr>
        <w:t>6路模拟量信号输入：（4～20）mA或（0～5）V或（200～1000）Hz；</w:t>
      </w:r>
    </w:p>
    <w:p>
      <w:pPr>
        <w:spacing w:line="360" w:lineRule="auto"/>
        <w:ind w:firstLine="630" w:firstLineChars="300"/>
        <w:rPr>
          <w:color w:val="000000" w:themeColor="text1"/>
          <w:szCs w:val="21"/>
        </w:rPr>
      </w:pPr>
      <w:r>
        <w:rPr>
          <w:color w:val="000000" w:themeColor="text1"/>
          <w:szCs w:val="21"/>
        </w:rPr>
        <w:t>b</w:t>
      </w:r>
      <w:r>
        <w:rPr>
          <w:rFonts w:hint="eastAsia"/>
          <w:color w:val="000000" w:themeColor="text1"/>
          <w:szCs w:val="21"/>
        </w:rPr>
        <w:t>）</w:t>
      </w:r>
      <w:r>
        <w:rPr>
          <w:color w:val="000000" w:themeColor="text1"/>
          <w:szCs w:val="21"/>
        </w:rPr>
        <w:t>模拟量输入处理误差：不大于0.5%。</w:t>
      </w:r>
    </w:p>
    <w:p>
      <w:pPr>
        <w:pStyle w:val="23"/>
        <w:numPr>
          <w:ilvl w:val="0"/>
          <w:numId w:val="0"/>
        </w:numPr>
        <w:spacing w:line="360" w:lineRule="auto"/>
        <w:ind w:firstLine="420" w:firstLineChars="200"/>
        <w:rPr>
          <w:rFonts w:ascii="Times New Roman"/>
          <w:color w:val="000000" w:themeColor="text1"/>
        </w:rPr>
      </w:pPr>
      <w:r>
        <w:rPr>
          <w:rFonts w:hint="eastAsia" w:ascii="Times New Roman"/>
          <w:color w:val="000000" w:themeColor="text1"/>
        </w:rPr>
        <w:t>3）工作方式：现场液晶屏显示监测数据和数据信号传输。</w:t>
      </w:r>
    </w:p>
    <w:p>
      <w:pPr>
        <w:spacing w:line="360" w:lineRule="auto"/>
        <w:ind w:firstLine="420" w:firstLineChars="200"/>
        <w:rPr>
          <w:color w:val="000000" w:themeColor="text1"/>
          <w:szCs w:val="21"/>
        </w:rPr>
      </w:pPr>
      <w:r>
        <w:rPr>
          <w:rFonts w:hint="eastAsia"/>
          <w:color w:val="000000" w:themeColor="text1"/>
          <w:szCs w:val="21"/>
        </w:rPr>
        <w:t>4）模拟量精度：24位AD。</w:t>
      </w:r>
    </w:p>
    <w:p>
      <w:pPr>
        <w:spacing w:line="360" w:lineRule="auto"/>
        <w:ind w:firstLine="420" w:firstLineChars="200"/>
        <w:rPr>
          <w:color w:val="000000" w:themeColor="text1"/>
        </w:rPr>
      </w:pPr>
      <w:r>
        <w:rPr>
          <w:rFonts w:hint="eastAsia"/>
          <w:color w:val="000000" w:themeColor="text1"/>
        </w:rPr>
        <w:t>5）</w:t>
      </w:r>
      <w:r>
        <w:rPr>
          <w:color w:val="000000" w:themeColor="text1"/>
        </w:rPr>
        <w:t>具有</w:t>
      </w:r>
      <w:r>
        <w:rPr>
          <w:rFonts w:hint="eastAsia"/>
          <w:color w:val="000000" w:themeColor="text1"/>
        </w:rPr>
        <w:t>2</w:t>
      </w:r>
      <w:r>
        <w:rPr>
          <w:color w:val="000000" w:themeColor="text1"/>
        </w:rPr>
        <w:t>路RS485</w:t>
      </w:r>
      <w:r>
        <w:rPr>
          <w:rFonts w:hint="eastAsia"/>
          <w:color w:val="000000" w:themeColor="text1"/>
        </w:rPr>
        <w:t>电信号接口、1路CAN电信号口、1路以太网电信号口和2路百兆光信号口。</w:t>
      </w:r>
    </w:p>
    <w:p>
      <w:pPr>
        <w:spacing w:line="360" w:lineRule="auto"/>
        <w:ind w:firstLine="420" w:firstLineChars="200"/>
        <w:rPr>
          <w:szCs w:val="21"/>
        </w:rPr>
      </w:pPr>
      <w:r>
        <w:rPr>
          <w:rFonts w:hint="eastAsia"/>
          <w:szCs w:val="21"/>
        </w:rPr>
        <w:t>6）防护等级：IP</w:t>
      </w:r>
      <w:r>
        <w:rPr>
          <w:szCs w:val="21"/>
        </w:rPr>
        <w:t>54</w:t>
      </w:r>
      <w:r>
        <w:rPr>
          <w:rFonts w:hint="eastAsia"/>
          <w:szCs w:val="21"/>
        </w:rPr>
        <w:t>。</w:t>
      </w:r>
    </w:p>
    <w:p>
      <w:pPr>
        <w:spacing w:line="360" w:lineRule="auto"/>
        <w:ind w:firstLine="420" w:firstLineChars="200"/>
        <w:rPr>
          <w:rFonts w:hint="eastAsia"/>
          <w:color w:val="000000" w:themeColor="text1"/>
          <w:szCs w:val="21"/>
        </w:rPr>
      </w:pPr>
      <w:r>
        <w:rPr>
          <w:color w:val="000000" w:themeColor="text1"/>
          <w:szCs w:val="21"/>
        </w:rPr>
        <w:t>7</w:t>
      </w:r>
      <w:r>
        <w:rPr>
          <w:rFonts w:hint="eastAsia"/>
          <w:color w:val="000000" w:themeColor="text1"/>
          <w:szCs w:val="21"/>
        </w:rPr>
        <w:t>）</w:t>
      </w:r>
      <w:r>
        <w:rPr>
          <w:color w:val="000000" w:themeColor="text1"/>
          <w:szCs w:val="21"/>
        </w:rPr>
        <w:t>防爆型式：本质安全型</w:t>
      </w:r>
      <w:r>
        <w:rPr>
          <w:rFonts w:hint="eastAsia"/>
          <w:color w:val="000000" w:themeColor="text1"/>
          <w:szCs w:val="21"/>
        </w:rPr>
        <w:t>，</w:t>
      </w:r>
      <w:r>
        <w:rPr>
          <w:color w:val="000000" w:themeColor="text1"/>
          <w:szCs w:val="21"/>
        </w:rPr>
        <w:t>防爆标志：</w:t>
      </w:r>
      <w:r>
        <w:rPr>
          <w:rFonts w:hint="eastAsia"/>
          <w:color w:val="000000" w:themeColor="text1"/>
          <w:szCs w:val="20"/>
        </w:rPr>
        <w:t>Ex</w:t>
      </w:r>
      <w:r>
        <w:rPr>
          <w:color w:val="000000" w:themeColor="text1"/>
          <w:szCs w:val="20"/>
        </w:rPr>
        <w:t xml:space="preserve"> </w:t>
      </w:r>
      <w:r>
        <w:rPr>
          <w:rFonts w:hint="eastAsia"/>
          <w:color w:val="000000" w:themeColor="text1"/>
          <w:szCs w:val="20"/>
        </w:rPr>
        <w:t>ib</w:t>
      </w:r>
      <w:r>
        <w:rPr>
          <w:color w:val="000000" w:themeColor="text1"/>
          <w:szCs w:val="20"/>
        </w:rPr>
        <w:t xml:space="preserve"> </w:t>
      </w:r>
      <w:r>
        <w:rPr>
          <w:rFonts w:hint="eastAsia"/>
          <w:color w:val="000000" w:themeColor="text1"/>
          <w:szCs w:val="20"/>
        </w:rPr>
        <w:t>I</w:t>
      </w:r>
      <w:r>
        <w:rPr>
          <w:color w:val="000000" w:themeColor="text1"/>
          <w:szCs w:val="20"/>
        </w:rPr>
        <w:t xml:space="preserve"> </w:t>
      </w:r>
      <w:r>
        <w:rPr>
          <w:rFonts w:hint="eastAsia"/>
          <w:color w:val="000000" w:themeColor="text1"/>
          <w:szCs w:val="20"/>
        </w:rPr>
        <w:t>Mb</w:t>
      </w:r>
      <w:r>
        <w:rPr>
          <w:rFonts w:hint="eastAsia"/>
          <w:color w:val="000000" w:themeColor="text1"/>
          <w:szCs w:val="21"/>
        </w:rPr>
        <w:t>，MA安全标志。</w:t>
      </w:r>
    </w:p>
    <w:p>
      <w:pPr>
        <w:spacing w:line="360" w:lineRule="auto"/>
        <w:rPr>
          <w:szCs w:val="21"/>
        </w:rPr>
      </w:pPr>
      <w:r>
        <w:rPr>
          <w:rFonts w:hint="eastAsia" w:ascii="宋体" w:hAnsi="宋体"/>
          <w:szCs w:val="21"/>
        </w:rPr>
        <w:t>*</w:t>
      </w:r>
      <w:r>
        <w:rPr>
          <w:szCs w:val="21"/>
        </w:rPr>
        <w:t xml:space="preserve">1.3 </w:t>
      </w:r>
      <w:r>
        <w:rPr>
          <w:rFonts w:hint="eastAsia"/>
          <w:szCs w:val="21"/>
        </w:rPr>
        <w:t>压力传感器主要技术参数</w:t>
      </w:r>
    </w:p>
    <w:p>
      <w:pPr>
        <w:pStyle w:val="23"/>
        <w:numPr>
          <w:ilvl w:val="0"/>
          <w:numId w:val="0"/>
        </w:numPr>
        <w:spacing w:line="360" w:lineRule="auto"/>
        <w:ind w:firstLine="420" w:firstLineChars="200"/>
        <w:rPr>
          <w:rFonts w:ascii="Times New Roman"/>
          <w:color w:val="000000"/>
        </w:rPr>
      </w:pPr>
      <w:r>
        <w:rPr>
          <w:rFonts w:hint="eastAsia" w:ascii="Times New Roman"/>
          <w:color w:val="000000"/>
        </w:rPr>
        <w:t>1）</w:t>
      </w:r>
      <w:r>
        <w:rPr>
          <w:rFonts w:ascii="Times New Roman"/>
          <w:color w:val="000000"/>
        </w:rPr>
        <w:t>工作电压：</w:t>
      </w:r>
      <w:r>
        <w:rPr>
          <w:rFonts w:hint="eastAsia" w:ascii="Times New Roman"/>
          <w:color w:val="000000"/>
        </w:rPr>
        <w:t>（12</w:t>
      </w:r>
      <w:r>
        <w:rPr>
          <w:rFonts w:ascii="Times New Roman"/>
        </w:rPr>
        <w:t>～</w:t>
      </w:r>
      <w:r>
        <w:rPr>
          <w:rFonts w:ascii="Times New Roman"/>
          <w:color w:val="000000"/>
        </w:rPr>
        <w:t>18</w:t>
      </w:r>
      <w:r>
        <w:rPr>
          <w:rFonts w:hint="eastAsia" w:ascii="Times New Roman"/>
          <w:color w:val="000000"/>
        </w:rPr>
        <w:t>.5）</w:t>
      </w:r>
      <w:r>
        <w:rPr>
          <w:rFonts w:ascii="Times New Roman"/>
          <w:color w:val="000000"/>
        </w:rPr>
        <w:t>V DC</w:t>
      </w:r>
      <w:r>
        <w:rPr>
          <w:rFonts w:hint="eastAsia" w:ascii="Times New Roman"/>
          <w:color w:val="000000"/>
        </w:rPr>
        <w:t>。</w:t>
      </w:r>
    </w:p>
    <w:p>
      <w:pPr>
        <w:pStyle w:val="23"/>
        <w:numPr>
          <w:ilvl w:val="0"/>
          <w:numId w:val="0"/>
        </w:numPr>
        <w:spacing w:line="360" w:lineRule="auto"/>
        <w:ind w:firstLine="420" w:firstLineChars="200"/>
        <w:rPr>
          <w:rFonts w:ascii="Times New Roman"/>
          <w:color w:val="000000"/>
        </w:rPr>
      </w:pPr>
      <w:r>
        <w:rPr>
          <w:rFonts w:ascii="Times New Roman"/>
          <w:color w:val="000000"/>
        </w:rPr>
        <w:t>2</w:t>
      </w:r>
      <w:r>
        <w:rPr>
          <w:rFonts w:hint="eastAsia" w:ascii="Times New Roman"/>
          <w:color w:val="000000"/>
        </w:rPr>
        <w:t>）</w:t>
      </w:r>
      <w:r>
        <w:rPr>
          <w:rFonts w:ascii="Times New Roman"/>
          <w:color w:val="000000"/>
        </w:rPr>
        <w:t>工作电流：不大于</w:t>
      </w:r>
      <w:r>
        <w:rPr>
          <w:rFonts w:hint="eastAsia" w:ascii="Times New Roman"/>
          <w:color w:val="000000"/>
        </w:rPr>
        <w:t>30</w:t>
      </w:r>
      <w:r>
        <w:rPr>
          <w:rFonts w:ascii="Times New Roman"/>
          <w:color w:val="000000"/>
        </w:rPr>
        <w:t>mA。</w:t>
      </w:r>
    </w:p>
    <w:p>
      <w:pPr>
        <w:pStyle w:val="23"/>
        <w:numPr>
          <w:ilvl w:val="0"/>
          <w:numId w:val="0"/>
        </w:numPr>
        <w:spacing w:line="360" w:lineRule="auto"/>
        <w:ind w:firstLine="420" w:firstLineChars="200"/>
        <w:rPr>
          <w:rFonts w:ascii="Times New Roman"/>
          <w:color w:val="000000"/>
        </w:rPr>
      </w:pPr>
      <w:r>
        <w:rPr>
          <w:rFonts w:hint="eastAsia" w:ascii="Times New Roman"/>
          <w:color w:val="000000"/>
        </w:rPr>
        <w:t>3）测量范围：0</w:t>
      </w:r>
      <w:r>
        <w:rPr>
          <w:rFonts w:ascii="Times New Roman"/>
        </w:rPr>
        <w:t>～60Mpa</w:t>
      </w:r>
      <w:r>
        <w:rPr>
          <w:rFonts w:hint="eastAsia" w:ascii="Times New Roman"/>
          <w:color w:val="000000"/>
        </w:rPr>
        <w:t>。</w:t>
      </w:r>
    </w:p>
    <w:p>
      <w:pPr>
        <w:pStyle w:val="23"/>
        <w:numPr>
          <w:ilvl w:val="0"/>
          <w:numId w:val="0"/>
        </w:numPr>
        <w:spacing w:line="360" w:lineRule="auto"/>
        <w:ind w:firstLine="420" w:firstLineChars="200"/>
        <w:rPr>
          <w:rFonts w:ascii="Times New Roman"/>
        </w:rPr>
      </w:pPr>
      <w:r>
        <w:rPr>
          <w:rFonts w:ascii="Times New Roman"/>
        </w:rPr>
        <w:t>4</w:t>
      </w:r>
      <w:r>
        <w:rPr>
          <w:rFonts w:hint="eastAsia" w:ascii="Times New Roman"/>
        </w:rPr>
        <w:t>）输出信号</w:t>
      </w:r>
      <w:r>
        <w:rPr>
          <w:rFonts w:ascii="Times New Roman"/>
        </w:rPr>
        <w:t>：电流信号4</w:t>
      </w:r>
      <w:r>
        <w:rPr>
          <w:rFonts w:hint="eastAsia" w:ascii="Times New Roman"/>
        </w:rPr>
        <w:t xml:space="preserve"> </w:t>
      </w:r>
      <w:r>
        <w:rPr>
          <w:rFonts w:ascii="Times New Roman"/>
        </w:rPr>
        <w:t>mA～20</w:t>
      </w:r>
      <w:r>
        <w:rPr>
          <w:rFonts w:hint="eastAsia" w:ascii="Times New Roman"/>
        </w:rPr>
        <w:t xml:space="preserve"> </w:t>
      </w:r>
      <w:r>
        <w:rPr>
          <w:rFonts w:ascii="Times New Roman"/>
        </w:rPr>
        <w:t>mA</w:t>
      </w:r>
      <w:r>
        <w:rPr>
          <w:rFonts w:hint="eastAsia" w:ascii="Times New Roman"/>
        </w:rPr>
        <w:t>。</w:t>
      </w:r>
    </w:p>
    <w:p>
      <w:pPr>
        <w:spacing w:line="360" w:lineRule="auto"/>
        <w:ind w:firstLine="420" w:firstLineChars="200"/>
      </w:pPr>
      <w:r>
        <w:t>5</w:t>
      </w:r>
      <w:r>
        <w:rPr>
          <w:rFonts w:hint="eastAsia"/>
        </w:rPr>
        <w:t>）准确度等级</w:t>
      </w:r>
      <w:r>
        <w:t>：</w:t>
      </w:r>
      <w:r>
        <w:rPr>
          <w:rFonts w:hint="eastAsia"/>
        </w:rPr>
        <w:t>0.5级。</w:t>
      </w:r>
    </w:p>
    <w:p>
      <w:pPr>
        <w:spacing w:line="360" w:lineRule="auto"/>
        <w:ind w:firstLine="420" w:firstLineChars="200"/>
        <w:rPr>
          <w:szCs w:val="21"/>
        </w:rPr>
      </w:pPr>
      <w:r>
        <w:rPr>
          <w:szCs w:val="21"/>
        </w:rPr>
        <w:t>6</w:t>
      </w:r>
      <w:r>
        <w:rPr>
          <w:rFonts w:hint="eastAsia"/>
          <w:szCs w:val="21"/>
        </w:rPr>
        <w:t>）传输距离：</w:t>
      </w:r>
      <w:r>
        <w:rPr>
          <w:szCs w:val="21"/>
        </w:rPr>
        <w:t>不大于</w:t>
      </w:r>
      <w:r>
        <w:rPr>
          <w:rFonts w:hint="eastAsia"/>
          <w:szCs w:val="21"/>
        </w:rPr>
        <w:t>1km。</w:t>
      </w:r>
    </w:p>
    <w:p>
      <w:pPr>
        <w:spacing w:line="360" w:lineRule="auto"/>
        <w:ind w:firstLine="420" w:firstLineChars="200"/>
        <w:rPr>
          <w:szCs w:val="21"/>
        </w:rPr>
      </w:pPr>
      <w:r>
        <w:rPr>
          <w:szCs w:val="21"/>
        </w:rPr>
        <w:t>7</w:t>
      </w:r>
      <w:r>
        <w:rPr>
          <w:rFonts w:hint="eastAsia"/>
          <w:szCs w:val="21"/>
        </w:rPr>
        <w:t>）防护等级：IP</w:t>
      </w:r>
      <w:r>
        <w:rPr>
          <w:szCs w:val="21"/>
        </w:rPr>
        <w:t>65</w:t>
      </w:r>
      <w:r>
        <w:rPr>
          <w:rFonts w:hint="eastAsia"/>
          <w:szCs w:val="21"/>
        </w:rPr>
        <w:t>。</w:t>
      </w:r>
    </w:p>
    <w:p>
      <w:pPr>
        <w:spacing w:line="360" w:lineRule="auto"/>
        <w:ind w:firstLine="420" w:firstLineChars="200"/>
        <w:rPr>
          <w:rFonts w:hint="eastAsia"/>
          <w:color w:val="000000" w:themeColor="text1"/>
          <w:szCs w:val="21"/>
        </w:rPr>
      </w:pPr>
      <w:r>
        <w:rPr>
          <w:color w:val="000000" w:themeColor="text1"/>
          <w:szCs w:val="21"/>
        </w:rPr>
        <w:t>8</w:t>
      </w:r>
      <w:r>
        <w:rPr>
          <w:rFonts w:hint="eastAsia"/>
          <w:color w:val="000000" w:themeColor="text1"/>
          <w:szCs w:val="21"/>
        </w:rPr>
        <w:t>）</w:t>
      </w:r>
      <w:r>
        <w:rPr>
          <w:color w:val="000000" w:themeColor="text1"/>
          <w:szCs w:val="21"/>
        </w:rPr>
        <w:t>防爆型式：本质安全型</w:t>
      </w:r>
      <w:r>
        <w:rPr>
          <w:rFonts w:hint="eastAsia"/>
          <w:color w:val="000000" w:themeColor="text1"/>
          <w:szCs w:val="21"/>
        </w:rPr>
        <w:t>，</w:t>
      </w:r>
      <w:r>
        <w:rPr>
          <w:color w:val="000000" w:themeColor="text1"/>
          <w:szCs w:val="21"/>
        </w:rPr>
        <w:t>防爆标志：</w:t>
      </w:r>
      <w:r>
        <w:rPr>
          <w:rFonts w:hint="eastAsia"/>
          <w:color w:val="000000" w:themeColor="text1"/>
          <w:szCs w:val="20"/>
        </w:rPr>
        <w:t>Ex</w:t>
      </w:r>
      <w:r>
        <w:rPr>
          <w:color w:val="000000" w:themeColor="text1"/>
          <w:szCs w:val="20"/>
        </w:rPr>
        <w:t xml:space="preserve"> </w:t>
      </w:r>
      <w:r>
        <w:rPr>
          <w:rFonts w:hint="eastAsia"/>
          <w:color w:val="000000" w:themeColor="text1"/>
          <w:szCs w:val="20"/>
        </w:rPr>
        <w:t>ib</w:t>
      </w:r>
      <w:r>
        <w:rPr>
          <w:color w:val="000000" w:themeColor="text1"/>
          <w:szCs w:val="20"/>
        </w:rPr>
        <w:t xml:space="preserve"> </w:t>
      </w:r>
      <w:r>
        <w:rPr>
          <w:rFonts w:hint="eastAsia"/>
          <w:color w:val="000000" w:themeColor="text1"/>
          <w:szCs w:val="20"/>
        </w:rPr>
        <w:t>I</w:t>
      </w:r>
      <w:r>
        <w:rPr>
          <w:color w:val="000000" w:themeColor="text1"/>
          <w:szCs w:val="20"/>
        </w:rPr>
        <w:t xml:space="preserve"> </w:t>
      </w:r>
      <w:r>
        <w:rPr>
          <w:rFonts w:hint="eastAsia"/>
          <w:color w:val="000000" w:themeColor="text1"/>
          <w:szCs w:val="20"/>
        </w:rPr>
        <w:t>Mb</w:t>
      </w:r>
      <w:r>
        <w:rPr>
          <w:rFonts w:hint="eastAsia"/>
          <w:color w:val="000000" w:themeColor="text1"/>
          <w:szCs w:val="21"/>
        </w:rPr>
        <w:t>，MA安全标志。</w:t>
      </w:r>
    </w:p>
    <w:p>
      <w:pPr>
        <w:spacing w:line="360" w:lineRule="auto"/>
        <w:rPr>
          <w:szCs w:val="21"/>
        </w:rPr>
      </w:pPr>
      <w:r>
        <w:rPr>
          <w:rFonts w:hint="eastAsia" w:ascii="宋体" w:hAnsi="宋体"/>
          <w:szCs w:val="21"/>
        </w:rPr>
        <w:t>*</w:t>
      </w:r>
      <w:r>
        <w:rPr>
          <w:rFonts w:hint="eastAsia"/>
          <w:szCs w:val="21"/>
        </w:rPr>
        <w:t>1.</w:t>
      </w:r>
      <w:r>
        <w:rPr>
          <w:szCs w:val="21"/>
        </w:rPr>
        <w:t>4</w:t>
      </w:r>
      <w:r>
        <w:rPr>
          <w:rFonts w:hint="eastAsia"/>
          <w:szCs w:val="21"/>
        </w:rPr>
        <w:t xml:space="preserve"> 本安电源箱主要技术参数</w:t>
      </w:r>
    </w:p>
    <w:p>
      <w:pPr>
        <w:pStyle w:val="23"/>
        <w:numPr>
          <w:ilvl w:val="0"/>
          <w:numId w:val="0"/>
        </w:numPr>
        <w:spacing w:line="360" w:lineRule="auto"/>
        <w:ind w:firstLine="420" w:firstLineChars="200"/>
        <w:rPr>
          <w:rFonts w:ascii="Times New Roman"/>
          <w:color w:val="000000"/>
        </w:rPr>
      </w:pPr>
      <w:r>
        <w:rPr>
          <w:rFonts w:ascii="Times New Roman"/>
          <w:color w:val="000000"/>
        </w:rPr>
        <w:t>1</w:t>
      </w:r>
      <w:r>
        <w:rPr>
          <w:rFonts w:hint="eastAsia" w:ascii="Times New Roman"/>
          <w:color w:val="000000"/>
        </w:rPr>
        <w:t>）供电电源电压</w:t>
      </w:r>
      <w:r>
        <w:rPr>
          <w:rFonts w:ascii="Times New Roman"/>
          <w:color w:val="000000"/>
        </w:rPr>
        <w:t>: AC50HZ,660V 0.12A,380V 0.21A</w:t>
      </w:r>
      <w:r>
        <w:rPr>
          <w:rFonts w:hint="eastAsia" w:ascii="Times New Roman"/>
          <w:color w:val="000000"/>
        </w:rPr>
        <w:t>，</w:t>
      </w:r>
      <w:r>
        <w:rPr>
          <w:rFonts w:ascii="Times New Roman"/>
          <w:color w:val="000000"/>
        </w:rPr>
        <w:t>127V 1.8A</w:t>
      </w:r>
      <w:r>
        <w:rPr>
          <w:rFonts w:hint="eastAsia" w:ascii="Times New Roman"/>
          <w:color w:val="000000"/>
        </w:rPr>
        <w:t>。</w:t>
      </w:r>
    </w:p>
    <w:p>
      <w:pPr>
        <w:pStyle w:val="23"/>
        <w:numPr>
          <w:ilvl w:val="0"/>
          <w:numId w:val="0"/>
        </w:numPr>
        <w:spacing w:line="360" w:lineRule="auto"/>
        <w:ind w:firstLine="420" w:firstLineChars="200"/>
        <w:rPr>
          <w:rFonts w:ascii="Times New Roman"/>
          <w:color w:val="000000"/>
        </w:rPr>
      </w:pPr>
      <w:r>
        <w:rPr>
          <w:rFonts w:ascii="Times New Roman"/>
          <w:color w:val="000000"/>
        </w:rPr>
        <w:t>2</w:t>
      </w:r>
      <w:r>
        <w:rPr>
          <w:rFonts w:hint="eastAsia" w:ascii="Times New Roman"/>
          <w:color w:val="000000"/>
        </w:rPr>
        <w:t>）本安参数：</w:t>
      </w:r>
    </w:p>
    <w:p>
      <w:pPr>
        <w:pStyle w:val="23"/>
        <w:numPr>
          <w:ilvl w:val="0"/>
          <w:numId w:val="0"/>
        </w:numPr>
        <w:spacing w:line="360" w:lineRule="auto"/>
        <w:ind w:firstLine="630" w:firstLineChars="300"/>
        <w:rPr>
          <w:rFonts w:ascii="Times New Roman"/>
          <w:color w:val="000000"/>
        </w:rPr>
      </w:pPr>
      <w:r>
        <w:rPr>
          <w:rFonts w:ascii="Times New Roman"/>
          <w:color w:val="000000"/>
        </w:rPr>
        <w:t>Uo</w:t>
      </w:r>
      <w:r>
        <w:rPr>
          <w:rFonts w:hint="eastAsia" w:ascii="Times New Roman"/>
          <w:color w:val="000000"/>
        </w:rPr>
        <w:t>：</w:t>
      </w:r>
      <w:r>
        <w:rPr>
          <w:rFonts w:ascii="Times New Roman"/>
          <w:color w:val="000000"/>
        </w:rPr>
        <w:t xml:space="preserve">DC18.5V </w:t>
      </w:r>
      <w:r>
        <w:rPr>
          <w:rFonts w:hint="eastAsia" w:ascii="Times New Roman"/>
          <w:color w:val="000000"/>
        </w:rPr>
        <w:t>；</w:t>
      </w:r>
      <w:r>
        <w:rPr>
          <w:rFonts w:ascii="Times New Roman"/>
          <w:color w:val="000000"/>
        </w:rPr>
        <w:t>Io:375mA</w:t>
      </w:r>
      <w:r>
        <w:rPr>
          <w:rFonts w:hint="eastAsia" w:ascii="Times New Roman"/>
          <w:color w:val="000000"/>
        </w:rPr>
        <w:t>；</w:t>
      </w:r>
      <w:r>
        <w:rPr>
          <w:rFonts w:ascii="Times New Roman"/>
          <w:color w:val="000000"/>
        </w:rPr>
        <w:t xml:space="preserve"> Lo</w:t>
      </w:r>
      <w:r>
        <w:rPr>
          <w:rFonts w:hint="eastAsia" w:ascii="Times New Roman"/>
          <w:color w:val="000000"/>
        </w:rPr>
        <w:t>：</w:t>
      </w:r>
      <w:r>
        <w:rPr>
          <w:rFonts w:ascii="Times New Roman"/>
          <w:color w:val="000000"/>
        </w:rPr>
        <w:t>2mH Co</w:t>
      </w:r>
      <w:r>
        <w:rPr>
          <w:rFonts w:hint="eastAsia" w:ascii="Times New Roman"/>
          <w:color w:val="000000"/>
        </w:rPr>
        <w:t>：</w:t>
      </w:r>
      <w:r>
        <w:rPr>
          <w:rFonts w:ascii="Times New Roman"/>
          <w:color w:val="000000"/>
        </w:rPr>
        <w:t>31uF</w:t>
      </w:r>
      <w:r>
        <w:rPr>
          <w:rFonts w:hint="eastAsia" w:ascii="Times New Roman"/>
          <w:color w:val="000000"/>
        </w:rPr>
        <w:t>。</w:t>
      </w:r>
    </w:p>
    <w:p>
      <w:pPr>
        <w:pStyle w:val="23"/>
        <w:numPr>
          <w:ilvl w:val="0"/>
          <w:numId w:val="0"/>
        </w:numPr>
        <w:spacing w:line="360" w:lineRule="auto"/>
        <w:ind w:firstLine="630" w:firstLineChars="300"/>
        <w:rPr>
          <w:rFonts w:ascii="Times New Roman"/>
          <w:color w:val="000000"/>
        </w:rPr>
      </w:pPr>
      <w:r>
        <w:rPr>
          <w:rFonts w:ascii="Times New Roman"/>
          <w:color w:val="000000"/>
        </w:rPr>
        <w:t>Uo</w:t>
      </w:r>
      <w:r>
        <w:rPr>
          <w:rFonts w:hint="eastAsia" w:ascii="Times New Roman"/>
          <w:color w:val="000000"/>
        </w:rPr>
        <w:t>：</w:t>
      </w:r>
      <w:r>
        <w:rPr>
          <w:rFonts w:ascii="Times New Roman"/>
          <w:color w:val="000000"/>
        </w:rPr>
        <w:t xml:space="preserve">DC12.5V </w:t>
      </w:r>
      <w:r>
        <w:rPr>
          <w:rFonts w:hint="eastAsia" w:ascii="Times New Roman"/>
          <w:color w:val="000000"/>
        </w:rPr>
        <w:t>；</w:t>
      </w:r>
      <w:r>
        <w:rPr>
          <w:rFonts w:ascii="Times New Roman"/>
          <w:color w:val="000000"/>
        </w:rPr>
        <w:t>Io:470mA</w:t>
      </w:r>
      <w:r>
        <w:rPr>
          <w:rFonts w:hint="eastAsia" w:ascii="Times New Roman"/>
          <w:color w:val="000000"/>
        </w:rPr>
        <w:t>；</w:t>
      </w:r>
      <w:r>
        <w:rPr>
          <w:rFonts w:ascii="Times New Roman"/>
          <w:color w:val="000000"/>
        </w:rPr>
        <w:t>Lo</w:t>
      </w:r>
      <w:r>
        <w:rPr>
          <w:rFonts w:hint="eastAsia" w:ascii="Times New Roman"/>
          <w:color w:val="000000"/>
        </w:rPr>
        <w:t>：</w:t>
      </w:r>
      <w:r>
        <w:rPr>
          <w:rFonts w:ascii="Times New Roman"/>
          <w:color w:val="000000"/>
        </w:rPr>
        <w:t>2mH</w:t>
      </w:r>
      <w:r>
        <w:rPr>
          <w:rFonts w:hint="eastAsia" w:ascii="Times New Roman"/>
          <w:color w:val="000000"/>
        </w:rPr>
        <w:t>；</w:t>
      </w:r>
      <w:r>
        <w:rPr>
          <w:rFonts w:ascii="Times New Roman"/>
          <w:color w:val="000000"/>
        </w:rPr>
        <w:t xml:space="preserve"> Co</w:t>
      </w:r>
      <w:r>
        <w:rPr>
          <w:rFonts w:hint="eastAsia" w:ascii="Times New Roman"/>
          <w:color w:val="000000"/>
        </w:rPr>
        <w:t>：</w:t>
      </w:r>
      <w:r>
        <w:rPr>
          <w:rFonts w:ascii="Times New Roman"/>
          <w:color w:val="000000"/>
        </w:rPr>
        <w:t>31uF</w:t>
      </w:r>
      <w:r>
        <w:rPr>
          <w:rFonts w:hint="eastAsia" w:ascii="Times New Roman"/>
          <w:color w:val="000000"/>
        </w:rPr>
        <w:t>。</w:t>
      </w:r>
    </w:p>
    <w:p>
      <w:pPr>
        <w:pStyle w:val="23"/>
        <w:numPr>
          <w:ilvl w:val="0"/>
          <w:numId w:val="0"/>
        </w:numPr>
        <w:spacing w:line="360" w:lineRule="auto"/>
        <w:ind w:left="420"/>
        <w:rPr>
          <w:rFonts w:ascii="Times New Roman"/>
          <w:color w:val="000000"/>
        </w:rPr>
      </w:pPr>
      <w:r>
        <w:rPr>
          <w:rFonts w:hint="eastAsia" w:ascii="Times New Roman"/>
          <w:color w:val="000000"/>
        </w:rPr>
        <w:t>3）输出本质安全直流电压路数：</w:t>
      </w:r>
      <w:r>
        <w:rPr>
          <w:rFonts w:ascii="Times New Roman"/>
          <w:color w:val="000000"/>
        </w:rPr>
        <w:t>2</w:t>
      </w:r>
      <w:r>
        <w:rPr>
          <w:rFonts w:hint="eastAsia" w:ascii="Times New Roman"/>
          <w:color w:val="000000"/>
        </w:rPr>
        <w:t>路。</w:t>
      </w:r>
    </w:p>
    <w:p>
      <w:pPr>
        <w:spacing w:line="360" w:lineRule="auto"/>
        <w:ind w:left="420"/>
        <w:rPr>
          <w:color w:val="000000" w:themeColor="text1"/>
          <w:szCs w:val="21"/>
        </w:rPr>
      </w:pPr>
      <w:r>
        <w:rPr>
          <w:color w:val="000000" w:themeColor="text1"/>
          <w:szCs w:val="21"/>
        </w:rPr>
        <w:t>4</w:t>
      </w:r>
      <w:r>
        <w:rPr>
          <w:rFonts w:hint="eastAsia"/>
          <w:color w:val="000000" w:themeColor="text1"/>
          <w:szCs w:val="21"/>
        </w:rPr>
        <w:t>）</w:t>
      </w:r>
      <w:r>
        <w:rPr>
          <w:color w:val="000000" w:themeColor="text1"/>
          <w:szCs w:val="21"/>
        </w:rPr>
        <w:t>防爆型式：本质安全型</w:t>
      </w:r>
      <w:r>
        <w:rPr>
          <w:rFonts w:hint="eastAsia"/>
          <w:color w:val="000000" w:themeColor="text1"/>
          <w:szCs w:val="21"/>
        </w:rPr>
        <w:t>，</w:t>
      </w:r>
      <w:r>
        <w:rPr>
          <w:color w:val="000000" w:themeColor="text1"/>
          <w:szCs w:val="21"/>
        </w:rPr>
        <w:t>防爆标志：</w:t>
      </w:r>
      <w:r>
        <w:rPr>
          <w:rFonts w:hint="eastAsia"/>
          <w:color w:val="000000" w:themeColor="text1"/>
          <w:szCs w:val="20"/>
        </w:rPr>
        <w:t>Exd</w:t>
      </w:r>
      <w:r>
        <w:rPr>
          <w:color w:val="000000" w:themeColor="text1"/>
          <w:szCs w:val="20"/>
        </w:rPr>
        <w:t xml:space="preserve"> </w:t>
      </w:r>
      <w:r>
        <w:rPr>
          <w:rFonts w:hint="eastAsia"/>
          <w:color w:val="000000" w:themeColor="text1"/>
          <w:szCs w:val="20"/>
        </w:rPr>
        <w:t>ib</w:t>
      </w:r>
      <w:r>
        <w:rPr>
          <w:color w:val="000000" w:themeColor="text1"/>
          <w:szCs w:val="20"/>
        </w:rPr>
        <w:t xml:space="preserve"> </w:t>
      </w:r>
      <w:r>
        <w:rPr>
          <w:rFonts w:hint="eastAsia"/>
          <w:color w:val="000000" w:themeColor="text1"/>
          <w:szCs w:val="20"/>
        </w:rPr>
        <w:t>I</w:t>
      </w:r>
      <w:r>
        <w:rPr>
          <w:rFonts w:hint="eastAsia"/>
          <w:color w:val="000000" w:themeColor="text1"/>
          <w:szCs w:val="21"/>
        </w:rPr>
        <w:t>，MA安全标志。</w:t>
      </w:r>
    </w:p>
    <w:p>
      <w:pPr>
        <w:spacing w:line="360" w:lineRule="auto"/>
        <w:rPr>
          <w:color w:val="000000" w:themeColor="text1"/>
          <w:szCs w:val="21"/>
        </w:rPr>
      </w:pPr>
      <w:r>
        <w:rPr>
          <w:rFonts w:hint="eastAsia" w:ascii="宋体" w:hAnsi="宋体"/>
          <w:szCs w:val="21"/>
        </w:rPr>
        <w:t>*</w:t>
      </w:r>
      <w:r>
        <w:rPr>
          <w:rFonts w:hint="eastAsia"/>
          <w:color w:val="000000" w:themeColor="text1"/>
          <w:szCs w:val="21"/>
        </w:rPr>
        <w:t>1.5 台式电脑主要技术参数</w:t>
      </w:r>
    </w:p>
    <w:p>
      <w:pPr>
        <w:pStyle w:val="23"/>
        <w:numPr>
          <w:ilvl w:val="0"/>
          <w:numId w:val="0"/>
        </w:numPr>
        <w:spacing w:line="360" w:lineRule="auto"/>
        <w:ind w:firstLine="420" w:firstLineChars="200"/>
        <w:rPr>
          <w:rFonts w:ascii="Times New Roman"/>
          <w:color w:val="000000"/>
        </w:rPr>
      </w:pPr>
      <w:r>
        <w:rPr>
          <w:rFonts w:hint="eastAsia" w:ascii="Times New Roman"/>
          <w:color w:val="000000"/>
        </w:rPr>
        <w:t>1）CPU</w:t>
      </w:r>
      <w:r>
        <w:rPr>
          <w:rFonts w:ascii="Times New Roman"/>
          <w:color w:val="000000"/>
        </w:rPr>
        <w:t>：不小于i</w:t>
      </w:r>
      <w:r>
        <w:rPr>
          <w:rFonts w:hint="eastAsia" w:ascii="Times New Roman"/>
          <w:color w:val="000000"/>
          <w:lang w:val="en-US" w:eastAsia="zh-CN"/>
        </w:rPr>
        <w:t>7</w:t>
      </w:r>
      <w:r>
        <w:rPr>
          <w:rFonts w:hint="eastAsia" w:ascii="Times New Roman"/>
          <w:color w:val="000000"/>
        </w:rPr>
        <w:t>。</w:t>
      </w:r>
    </w:p>
    <w:p>
      <w:pPr>
        <w:pStyle w:val="23"/>
        <w:numPr>
          <w:ilvl w:val="0"/>
          <w:numId w:val="0"/>
        </w:numPr>
        <w:spacing w:line="360" w:lineRule="auto"/>
        <w:ind w:firstLine="420" w:firstLineChars="200"/>
        <w:rPr>
          <w:rFonts w:ascii="Times New Roman"/>
          <w:color w:val="000000"/>
        </w:rPr>
      </w:pPr>
      <w:r>
        <w:rPr>
          <w:rFonts w:ascii="Times New Roman"/>
          <w:color w:val="000000"/>
        </w:rPr>
        <w:t>2</w:t>
      </w:r>
      <w:r>
        <w:rPr>
          <w:rFonts w:hint="eastAsia" w:ascii="Times New Roman"/>
          <w:color w:val="000000"/>
        </w:rPr>
        <w:t>）内存</w:t>
      </w:r>
      <w:r>
        <w:rPr>
          <w:rFonts w:ascii="Times New Roman"/>
          <w:color w:val="000000"/>
        </w:rPr>
        <w:t>：不小于</w:t>
      </w:r>
      <w:r>
        <w:rPr>
          <w:rFonts w:hint="eastAsia" w:ascii="Times New Roman"/>
          <w:color w:val="000000"/>
          <w:lang w:val="en-US" w:eastAsia="zh-CN"/>
        </w:rPr>
        <w:t>8</w:t>
      </w:r>
      <w:r>
        <w:rPr>
          <w:rFonts w:hint="eastAsia" w:ascii="Times New Roman"/>
          <w:color w:val="000000"/>
        </w:rPr>
        <w:t>G</w:t>
      </w:r>
      <w:r>
        <w:rPr>
          <w:rFonts w:ascii="Times New Roman"/>
          <w:color w:val="000000"/>
        </w:rPr>
        <w:t>。</w:t>
      </w:r>
    </w:p>
    <w:p>
      <w:pPr>
        <w:pStyle w:val="23"/>
        <w:numPr>
          <w:ilvl w:val="0"/>
          <w:numId w:val="0"/>
        </w:numPr>
        <w:spacing w:line="360" w:lineRule="auto"/>
        <w:ind w:firstLine="420" w:firstLineChars="200"/>
        <w:rPr>
          <w:rFonts w:ascii="Times New Roman"/>
          <w:color w:val="000000"/>
        </w:rPr>
      </w:pPr>
      <w:r>
        <w:rPr>
          <w:rFonts w:hint="eastAsia" w:ascii="Times New Roman"/>
          <w:color w:val="000000"/>
        </w:rPr>
        <w:t>3）硬盘：不小于</w:t>
      </w:r>
      <w:r>
        <w:rPr>
          <w:rFonts w:hint="eastAsia" w:ascii="Times New Roman"/>
          <w:color w:val="000000"/>
          <w:lang w:val="en-US" w:eastAsia="zh-CN"/>
        </w:rPr>
        <w:t>2T</w:t>
      </w:r>
      <w:r>
        <w:rPr>
          <w:rFonts w:hint="eastAsia" w:ascii="Times New Roman"/>
          <w:color w:val="000000"/>
        </w:rPr>
        <w:t>。</w:t>
      </w:r>
    </w:p>
    <w:p>
      <w:pPr>
        <w:pStyle w:val="23"/>
        <w:numPr>
          <w:ilvl w:val="0"/>
          <w:numId w:val="0"/>
        </w:numPr>
        <w:spacing w:line="360" w:lineRule="auto"/>
        <w:ind w:firstLine="420" w:firstLineChars="200"/>
        <w:rPr>
          <w:rFonts w:ascii="Times New Roman"/>
        </w:rPr>
      </w:pPr>
      <w:r>
        <w:rPr>
          <w:rFonts w:ascii="Times New Roman"/>
        </w:rPr>
        <w:t>4</w:t>
      </w:r>
      <w:r>
        <w:rPr>
          <w:rFonts w:hint="eastAsia" w:ascii="Times New Roman"/>
        </w:rPr>
        <w:t>）显卡</w:t>
      </w:r>
      <w:r>
        <w:rPr>
          <w:rFonts w:ascii="Times New Roman"/>
        </w:rPr>
        <w:t>：不小于</w:t>
      </w:r>
      <w:r>
        <w:rPr>
          <w:rFonts w:hint="eastAsia" w:ascii="Times New Roman"/>
          <w:lang w:val="en-US" w:eastAsia="zh-CN"/>
        </w:rPr>
        <w:t>2</w:t>
      </w:r>
      <w:r>
        <w:rPr>
          <w:rFonts w:hint="eastAsia" w:ascii="Times New Roman"/>
        </w:rPr>
        <w:t>G。</w:t>
      </w:r>
    </w:p>
    <w:p>
      <w:pPr>
        <w:spacing w:line="360" w:lineRule="auto"/>
      </w:pPr>
      <w:r>
        <w:t>2 主要功能</w:t>
      </w:r>
    </w:p>
    <w:p>
      <w:pPr>
        <w:spacing w:line="360" w:lineRule="auto"/>
      </w:pPr>
      <w:r>
        <w:rPr>
          <w:rFonts w:hint="eastAsia" w:ascii="宋体" w:hAnsi="宋体"/>
          <w:szCs w:val="21"/>
        </w:rPr>
        <w:t>*</w:t>
      </w:r>
      <w:r>
        <w:t>2</w:t>
      </w:r>
      <w:r>
        <w:rPr>
          <w:rFonts w:hint="eastAsia"/>
        </w:rPr>
        <w:t>.1 主站主要功能</w:t>
      </w:r>
    </w:p>
    <w:p>
      <w:pPr>
        <w:spacing w:line="360" w:lineRule="auto"/>
        <w:ind w:firstLine="420" w:firstLineChars="200"/>
        <w:rPr>
          <w:szCs w:val="21"/>
        </w:rPr>
      </w:pPr>
      <w:r>
        <w:rPr>
          <w:szCs w:val="21"/>
        </w:rPr>
        <w:t>1</w:t>
      </w:r>
      <w:r>
        <w:rPr>
          <w:rFonts w:hint="eastAsia"/>
          <w:szCs w:val="21"/>
        </w:rPr>
        <w:t>）监测中心站是系统控制中心，通过网络系统对分布在矿区工作面的密闭墙的压力监测点进行测控，实时数据由服务器管理。</w:t>
      </w:r>
    </w:p>
    <w:p>
      <w:pPr>
        <w:spacing w:line="360" w:lineRule="auto"/>
        <w:ind w:firstLine="420" w:firstLineChars="200"/>
        <w:rPr>
          <w:szCs w:val="21"/>
        </w:rPr>
      </w:pPr>
      <w:r>
        <w:rPr>
          <w:szCs w:val="21"/>
        </w:rPr>
        <w:t>2</w:t>
      </w:r>
      <w:r>
        <w:rPr>
          <w:rFonts w:hint="eastAsia"/>
          <w:szCs w:val="21"/>
        </w:rPr>
        <w:t>）监测中心站由计算机、远程数据通信适配器及系统软件（含系统控制、数据通信、数据处理等客户端应用软件及关系数据库管理系统SQL Server 200</w:t>
      </w:r>
      <w:r>
        <w:rPr>
          <w:szCs w:val="21"/>
        </w:rPr>
        <w:t>8</w:t>
      </w:r>
      <w:r>
        <w:rPr>
          <w:rFonts w:hint="eastAsia"/>
          <w:szCs w:val="21"/>
        </w:rPr>
        <w:t>）等构成。</w:t>
      </w:r>
    </w:p>
    <w:p>
      <w:pPr>
        <w:spacing w:line="360" w:lineRule="auto"/>
        <w:ind w:firstLine="420" w:firstLineChars="200"/>
        <w:rPr>
          <w:szCs w:val="21"/>
        </w:rPr>
      </w:pPr>
      <w:r>
        <w:rPr>
          <w:szCs w:val="21"/>
        </w:rPr>
        <w:t>3）数据采集功能：</w:t>
      </w:r>
      <w:r>
        <w:rPr>
          <w:snapToGrid w:val="0"/>
        </w:rPr>
        <w:t>系统具有对井下矿用本质安全型压力变送器数据采集功能。</w:t>
      </w:r>
    </w:p>
    <w:p>
      <w:pPr>
        <w:spacing w:line="360" w:lineRule="auto"/>
        <w:ind w:firstLine="420" w:firstLineChars="200"/>
        <w:rPr>
          <w:rFonts w:eastAsiaTheme="minorEastAsia"/>
        </w:rPr>
      </w:pPr>
      <w:r>
        <w:rPr>
          <w:rFonts w:eastAsiaTheme="minorEastAsia"/>
        </w:rPr>
        <w:t>4）数据存储功能：系统具有初始化参数的存储功能、监测数据存储功能和越限报警信息存储功能。</w:t>
      </w:r>
    </w:p>
    <w:p>
      <w:pPr>
        <w:spacing w:line="360" w:lineRule="auto"/>
        <w:ind w:firstLine="420" w:firstLineChars="200"/>
        <w:rPr>
          <w:rFonts w:eastAsiaTheme="minorEastAsia"/>
        </w:rPr>
      </w:pPr>
      <w:r>
        <w:rPr>
          <w:rFonts w:eastAsiaTheme="minorEastAsia"/>
        </w:rPr>
        <w:t>5）数据查询功能：系统具有自定义历史数据及自定义报表查询功能、自定义历史曲线查询功能和历史越限报警数据查询功能。</w:t>
      </w:r>
    </w:p>
    <w:p>
      <w:pPr>
        <w:spacing w:line="360" w:lineRule="auto"/>
        <w:ind w:firstLine="420" w:firstLineChars="200"/>
        <w:rPr>
          <w:rFonts w:eastAsiaTheme="minorEastAsia"/>
        </w:rPr>
      </w:pPr>
      <w:r>
        <w:rPr>
          <w:rFonts w:eastAsiaTheme="minorEastAsia"/>
        </w:rPr>
        <w:t>6）数据显示功能：系统应具有实时数据列表显示功能、具有自定义历史数据及自定义报表列表显示功能、自定义历史数据曲线显示功能和越限报警数据显示功能。</w:t>
      </w:r>
    </w:p>
    <w:p>
      <w:pPr>
        <w:spacing w:line="360" w:lineRule="auto"/>
        <w:ind w:firstLine="420" w:firstLineChars="200"/>
        <w:rPr>
          <w:szCs w:val="21"/>
        </w:rPr>
      </w:pPr>
      <w:r>
        <w:rPr>
          <w:szCs w:val="21"/>
        </w:rPr>
        <w:t>7</w:t>
      </w:r>
      <w:r>
        <w:rPr>
          <w:rFonts w:hint="eastAsia"/>
          <w:szCs w:val="21"/>
        </w:rPr>
        <w:t>）专用矿井水文监测系统预警软件主要功能：</w:t>
      </w:r>
    </w:p>
    <w:p>
      <w:pPr>
        <w:spacing w:line="360" w:lineRule="auto"/>
        <w:ind w:firstLine="420" w:firstLineChars="200"/>
        <w:rPr>
          <w:szCs w:val="21"/>
        </w:rPr>
      </w:pPr>
      <w:r>
        <w:rPr>
          <w:rFonts w:hint="eastAsia"/>
          <w:szCs w:val="21"/>
        </w:rPr>
        <w:t>（1）采用组态软件根据煤矿布局形象显示监测点位置和数据。</w:t>
      </w:r>
    </w:p>
    <w:p>
      <w:pPr>
        <w:spacing w:line="360" w:lineRule="auto"/>
        <w:ind w:firstLine="420" w:firstLineChars="200"/>
        <w:rPr>
          <w:szCs w:val="21"/>
        </w:rPr>
      </w:pPr>
      <w:r>
        <w:rPr>
          <w:rFonts w:hint="eastAsia"/>
          <w:szCs w:val="21"/>
        </w:rPr>
        <w:t>（2）采用基于.NET的MVC架构与面向对象的C#.NET编程技术重新编制上位机监测软件。</w:t>
      </w:r>
    </w:p>
    <w:p>
      <w:pPr>
        <w:spacing w:line="360" w:lineRule="auto"/>
      </w:pPr>
      <w:r>
        <w:rPr>
          <w:rFonts w:hint="eastAsia" w:ascii="宋体" w:hAnsi="宋体"/>
          <w:szCs w:val="21"/>
        </w:rPr>
        <w:t>*</w:t>
      </w:r>
      <w:r>
        <w:t>2</w:t>
      </w:r>
      <w:r>
        <w:rPr>
          <w:rFonts w:hint="eastAsia"/>
        </w:rPr>
        <w:t>.</w:t>
      </w:r>
      <w:r>
        <w:t>2</w:t>
      </w:r>
      <w:r>
        <w:rPr>
          <w:rFonts w:hint="eastAsia"/>
        </w:rPr>
        <w:t xml:space="preserve"> 分站主要功能</w:t>
      </w:r>
    </w:p>
    <w:p>
      <w:pPr>
        <w:spacing w:line="360" w:lineRule="auto"/>
        <w:ind w:firstLine="420" w:firstLineChars="200"/>
      </w:pPr>
      <w:r>
        <w:rPr>
          <w:rFonts w:hint="eastAsia"/>
        </w:rPr>
        <w:t>1）分站应</w:t>
      </w:r>
      <w:r>
        <w:t>具有6路模拟量（4</w:t>
      </w:r>
      <w:r>
        <w:rPr>
          <w:rFonts w:hint="eastAsia"/>
        </w:rPr>
        <w:t xml:space="preserve"> </w:t>
      </w:r>
      <w:r>
        <w:t>mA～20</w:t>
      </w:r>
      <w:r>
        <w:rPr>
          <w:rFonts w:hint="eastAsia"/>
        </w:rPr>
        <w:t xml:space="preserve"> </w:t>
      </w:r>
      <w:r>
        <w:t>mA或0</w:t>
      </w:r>
      <w:r>
        <w:rPr>
          <w:rFonts w:hint="eastAsia"/>
        </w:rPr>
        <w:t xml:space="preserve"> </w:t>
      </w:r>
      <w:r>
        <w:t>V～5</w:t>
      </w:r>
      <w:r>
        <w:rPr>
          <w:rFonts w:hint="eastAsia"/>
        </w:rPr>
        <w:t xml:space="preserve"> </w:t>
      </w:r>
      <w:r>
        <w:t>V）、6路数字量（200</w:t>
      </w:r>
      <w:r>
        <w:rPr>
          <w:rFonts w:hint="eastAsia"/>
        </w:rPr>
        <w:t xml:space="preserve"> </w:t>
      </w:r>
      <w:r>
        <w:t>Hz-1000</w:t>
      </w:r>
      <w:r>
        <w:rPr>
          <w:rFonts w:hint="eastAsia"/>
        </w:rPr>
        <w:t xml:space="preserve"> </w:t>
      </w:r>
      <w:r>
        <w:t>Hz）采集功能</w:t>
      </w:r>
      <w:r>
        <w:rPr>
          <w:rFonts w:hint="eastAsia"/>
        </w:rPr>
        <w:t>。</w:t>
      </w:r>
    </w:p>
    <w:p>
      <w:pPr>
        <w:spacing w:line="360" w:lineRule="auto"/>
        <w:ind w:firstLine="420" w:firstLineChars="200"/>
        <w:rPr>
          <w:color w:val="000000" w:themeColor="text1"/>
        </w:rPr>
      </w:pPr>
      <w:r>
        <w:rPr>
          <w:rFonts w:hint="eastAsia"/>
          <w:color w:val="000000" w:themeColor="text1"/>
        </w:rPr>
        <w:t>2）</w:t>
      </w:r>
      <w:r>
        <w:rPr>
          <w:rFonts w:hint="eastAsia"/>
          <w:color w:val="000000" w:themeColor="text1"/>
          <w:szCs w:val="21"/>
        </w:rPr>
        <w:t>分站具有多种通讯方式，包括CAN总线通讯，以太网通讯，RS485通讯，光纤通讯等；分站在井下可直接接入以太网交换机、光端机。</w:t>
      </w:r>
    </w:p>
    <w:p>
      <w:pPr>
        <w:spacing w:line="360" w:lineRule="auto"/>
        <w:ind w:firstLine="420" w:firstLineChars="200"/>
        <w:rPr>
          <w:color w:val="000000" w:themeColor="text1"/>
        </w:rPr>
      </w:pPr>
      <w:r>
        <w:rPr>
          <w:color w:val="000000" w:themeColor="text1"/>
        </w:rPr>
        <w:t>3</w:t>
      </w:r>
      <w:r>
        <w:rPr>
          <w:rFonts w:hint="eastAsia"/>
          <w:color w:val="000000" w:themeColor="text1"/>
        </w:rPr>
        <w:t>）分站应具有CAN转以太网功能。</w:t>
      </w:r>
    </w:p>
    <w:p>
      <w:pPr>
        <w:spacing w:line="360" w:lineRule="auto"/>
        <w:ind w:firstLine="420" w:firstLineChars="200"/>
        <w:rPr>
          <w:color w:val="000000" w:themeColor="text1"/>
        </w:rPr>
      </w:pPr>
      <w:r>
        <w:rPr>
          <w:color w:val="000000" w:themeColor="text1"/>
        </w:rPr>
        <w:t>4</w:t>
      </w:r>
      <w:r>
        <w:rPr>
          <w:rFonts w:hint="eastAsia"/>
          <w:color w:val="000000" w:themeColor="text1"/>
        </w:rPr>
        <w:t>）分站应具有液晶屏显示功能。</w:t>
      </w:r>
    </w:p>
    <w:p>
      <w:pPr>
        <w:spacing w:line="360" w:lineRule="auto"/>
        <w:ind w:firstLine="420" w:firstLineChars="200"/>
        <w:rPr>
          <w:color w:val="000000" w:themeColor="text1"/>
        </w:rPr>
      </w:pPr>
      <w:r>
        <w:rPr>
          <w:color w:val="000000" w:themeColor="text1"/>
        </w:rPr>
        <w:t>5</w:t>
      </w:r>
      <w:r>
        <w:rPr>
          <w:rFonts w:hint="eastAsia"/>
          <w:color w:val="000000" w:themeColor="text1"/>
        </w:rPr>
        <w:t>）分站应具有工作模式设置功能。</w:t>
      </w:r>
    </w:p>
    <w:p>
      <w:pPr>
        <w:spacing w:line="360" w:lineRule="auto"/>
        <w:ind w:firstLine="420" w:firstLineChars="200"/>
        <w:rPr>
          <w:color w:val="000000" w:themeColor="text1"/>
          <w:szCs w:val="21"/>
        </w:rPr>
      </w:pPr>
      <w:r>
        <w:rPr>
          <w:color w:val="000000" w:themeColor="text1"/>
          <w:szCs w:val="21"/>
        </w:rPr>
        <w:t>6</w:t>
      </w:r>
      <w:r>
        <w:rPr>
          <w:rFonts w:hint="eastAsia"/>
          <w:color w:val="000000" w:themeColor="text1"/>
          <w:szCs w:val="21"/>
        </w:rPr>
        <w:t>）分站具有水压、明渠流量、管道流量、温度、水箱液位采集功能。</w:t>
      </w:r>
    </w:p>
    <w:p>
      <w:pPr>
        <w:adjustRightInd w:val="0"/>
        <w:snapToGrid w:val="0"/>
        <w:spacing w:line="360" w:lineRule="auto"/>
        <w:ind w:firstLine="31680"/>
      </w:pPr>
      <w:r>
        <w:rPr>
          <w:szCs w:val="21"/>
        </w:rPr>
        <w:t>。</w:t>
      </w:r>
    </w:p>
    <w:p>
      <w:pPr>
        <w:spacing w:line="360" w:lineRule="auto"/>
        <w:rPr>
          <w:szCs w:val="21"/>
        </w:rPr>
      </w:pPr>
      <w:r>
        <w:rPr>
          <w:szCs w:val="21"/>
        </w:rPr>
        <w:t>3. 技术性能要求</w:t>
      </w:r>
    </w:p>
    <w:p>
      <w:pPr>
        <w:spacing w:line="360" w:lineRule="auto"/>
        <w:rPr>
          <w:szCs w:val="21"/>
        </w:rPr>
      </w:pPr>
      <w:r>
        <w:rPr>
          <w:rFonts w:hint="eastAsia" w:ascii="宋体" w:hAnsi="宋体"/>
          <w:szCs w:val="21"/>
        </w:rPr>
        <w:t>*</w:t>
      </w:r>
      <w:r>
        <w:rPr>
          <w:snapToGrid w:val="0"/>
          <w:kern w:val="0"/>
          <w:szCs w:val="21"/>
        </w:rPr>
        <w:t>3</w:t>
      </w:r>
      <w:r>
        <w:rPr>
          <w:rFonts w:hint="eastAsia"/>
          <w:snapToGrid w:val="0"/>
          <w:kern w:val="0"/>
          <w:szCs w:val="21"/>
        </w:rPr>
        <w:t xml:space="preserve">.1 </w:t>
      </w:r>
      <w:r>
        <w:rPr>
          <w:snapToGrid w:val="0"/>
          <w:kern w:val="0"/>
          <w:szCs w:val="21"/>
        </w:rPr>
        <w:t>主机与适配器</w:t>
      </w:r>
    </w:p>
    <w:p>
      <w:pPr>
        <w:widowControl/>
        <w:autoSpaceDE w:val="0"/>
        <w:autoSpaceDN w:val="0"/>
        <w:spacing w:line="360" w:lineRule="auto"/>
        <w:ind w:firstLine="420" w:firstLineChars="200"/>
        <w:rPr>
          <w:snapToGrid w:val="0"/>
          <w:kern w:val="0"/>
          <w:szCs w:val="21"/>
        </w:rPr>
      </w:pPr>
      <w:r>
        <w:rPr>
          <w:rFonts w:hint="eastAsia"/>
          <w:snapToGrid w:val="0"/>
          <w:kern w:val="0"/>
          <w:szCs w:val="21"/>
        </w:rPr>
        <w:t>1）接口数量：1路；</w:t>
      </w:r>
    </w:p>
    <w:p>
      <w:pPr>
        <w:widowControl/>
        <w:autoSpaceDE w:val="0"/>
        <w:autoSpaceDN w:val="0"/>
        <w:spacing w:line="360" w:lineRule="auto"/>
        <w:ind w:firstLine="420" w:firstLineChars="200"/>
        <w:rPr>
          <w:snapToGrid w:val="0"/>
          <w:kern w:val="0"/>
          <w:szCs w:val="21"/>
        </w:rPr>
      </w:pPr>
      <w:r>
        <w:rPr>
          <w:rFonts w:hint="eastAsia"/>
          <w:snapToGrid w:val="0"/>
          <w:kern w:val="0"/>
          <w:szCs w:val="21"/>
        </w:rPr>
        <w:t>2）传输方式：</w:t>
      </w:r>
      <w:r>
        <w:rPr>
          <w:snapToGrid w:val="0"/>
          <w:kern w:val="0"/>
          <w:szCs w:val="21"/>
        </w:rPr>
        <w:t>半双工</w:t>
      </w:r>
      <w:r>
        <w:rPr>
          <w:rFonts w:hint="eastAsia"/>
          <w:snapToGrid w:val="0"/>
          <w:kern w:val="0"/>
          <w:szCs w:val="21"/>
        </w:rPr>
        <w:t>，</w:t>
      </w:r>
      <w:r>
        <w:rPr>
          <w:snapToGrid w:val="0"/>
          <w:kern w:val="0"/>
          <w:szCs w:val="21"/>
        </w:rPr>
        <w:t>RS232</w:t>
      </w:r>
      <w:r>
        <w:rPr>
          <w:rFonts w:hint="eastAsia"/>
          <w:snapToGrid w:val="0"/>
          <w:kern w:val="0"/>
          <w:szCs w:val="21"/>
        </w:rPr>
        <w:t>，电传输；</w:t>
      </w:r>
    </w:p>
    <w:p>
      <w:pPr>
        <w:widowControl/>
        <w:autoSpaceDE w:val="0"/>
        <w:autoSpaceDN w:val="0"/>
        <w:spacing w:line="360" w:lineRule="auto"/>
        <w:ind w:firstLine="420" w:firstLineChars="200"/>
        <w:rPr>
          <w:snapToGrid w:val="0"/>
          <w:kern w:val="0"/>
          <w:szCs w:val="21"/>
        </w:rPr>
      </w:pPr>
      <w:r>
        <w:rPr>
          <w:snapToGrid w:val="0"/>
          <w:kern w:val="0"/>
          <w:szCs w:val="21"/>
        </w:rPr>
        <w:t>3</w:t>
      </w:r>
      <w:r>
        <w:rPr>
          <w:rFonts w:hint="eastAsia"/>
          <w:snapToGrid w:val="0"/>
          <w:kern w:val="0"/>
          <w:szCs w:val="21"/>
        </w:rPr>
        <w:t>）传输速率：9600 Mbps。</w:t>
      </w:r>
    </w:p>
    <w:p>
      <w:pPr>
        <w:spacing w:line="360" w:lineRule="auto"/>
        <w:rPr>
          <w:snapToGrid w:val="0"/>
          <w:kern w:val="0"/>
          <w:szCs w:val="21"/>
        </w:rPr>
      </w:pPr>
      <w:r>
        <w:rPr>
          <w:rFonts w:hint="eastAsia" w:ascii="宋体" w:hAnsi="宋体"/>
          <w:szCs w:val="21"/>
        </w:rPr>
        <w:t>*</w:t>
      </w:r>
      <w:r>
        <w:rPr>
          <w:snapToGrid w:val="0"/>
          <w:kern w:val="0"/>
          <w:szCs w:val="21"/>
        </w:rPr>
        <w:t xml:space="preserve">3.2 </w:t>
      </w:r>
      <w:r>
        <w:rPr>
          <w:rFonts w:hint="eastAsia"/>
          <w:snapToGrid w:val="0"/>
          <w:kern w:val="0"/>
          <w:szCs w:val="21"/>
        </w:rPr>
        <w:t>主机与分站</w:t>
      </w:r>
    </w:p>
    <w:p>
      <w:pPr>
        <w:widowControl/>
        <w:autoSpaceDE w:val="0"/>
        <w:autoSpaceDN w:val="0"/>
        <w:spacing w:line="360" w:lineRule="auto"/>
        <w:ind w:firstLine="420" w:firstLineChars="200"/>
        <w:rPr>
          <w:snapToGrid w:val="0"/>
          <w:kern w:val="0"/>
          <w:szCs w:val="21"/>
        </w:rPr>
      </w:pPr>
      <w:r>
        <w:rPr>
          <w:snapToGrid w:val="0"/>
          <w:kern w:val="0"/>
          <w:szCs w:val="21"/>
        </w:rPr>
        <w:t>1</w:t>
      </w:r>
      <w:r>
        <w:rPr>
          <w:rFonts w:hint="eastAsia"/>
          <w:snapToGrid w:val="0"/>
          <w:kern w:val="0"/>
          <w:szCs w:val="21"/>
        </w:rPr>
        <w:t>）接口数量：1路；</w:t>
      </w:r>
    </w:p>
    <w:p>
      <w:pPr>
        <w:widowControl/>
        <w:autoSpaceDE w:val="0"/>
        <w:autoSpaceDN w:val="0"/>
        <w:spacing w:line="360" w:lineRule="auto"/>
        <w:ind w:firstLine="420" w:firstLineChars="200"/>
        <w:rPr>
          <w:snapToGrid w:val="0"/>
          <w:kern w:val="0"/>
          <w:szCs w:val="21"/>
        </w:rPr>
      </w:pPr>
      <w:r>
        <w:rPr>
          <w:snapToGrid w:val="0"/>
          <w:kern w:val="0"/>
          <w:szCs w:val="21"/>
        </w:rPr>
        <w:t>2</w:t>
      </w:r>
      <w:r>
        <w:rPr>
          <w:rFonts w:hint="eastAsia"/>
          <w:snapToGrid w:val="0"/>
          <w:kern w:val="0"/>
          <w:szCs w:val="21"/>
        </w:rPr>
        <w:t>）传输方式：全双工，TCP/IP协议，电传输；</w:t>
      </w:r>
    </w:p>
    <w:p>
      <w:pPr>
        <w:widowControl/>
        <w:autoSpaceDE w:val="0"/>
        <w:autoSpaceDN w:val="0"/>
        <w:spacing w:line="360" w:lineRule="auto"/>
        <w:ind w:firstLine="420" w:firstLineChars="200"/>
        <w:rPr>
          <w:snapToGrid w:val="0"/>
          <w:kern w:val="0"/>
          <w:szCs w:val="21"/>
        </w:rPr>
      </w:pPr>
      <w:r>
        <w:rPr>
          <w:snapToGrid w:val="0"/>
          <w:kern w:val="0"/>
          <w:szCs w:val="21"/>
        </w:rPr>
        <w:t>3</w:t>
      </w:r>
      <w:r>
        <w:rPr>
          <w:rFonts w:hint="eastAsia"/>
          <w:snapToGrid w:val="0"/>
          <w:kern w:val="0"/>
          <w:szCs w:val="21"/>
        </w:rPr>
        <w:t>）传输速率：10/100Mbps 自适应。</w:t>
      </w:r>
    </w:p>
    <w:p>
      <w:pPr>
        <w:spacing w:line="360" w:lineRule="auto"/>
        <w:rPr>
          <w:snapToGrid w:val="0"/>
          <w:kern w:val="0"/>
          <w:szCs w:val="21"/>
        </w:rPr>
      </w:pPr>
      <w:r>
        <w:rPr>
          <w:rFonts w:hint="eastAsia" w:ascii="宋体" w:hAnsi="宋体"/>
          <w:szCs w:val="21"/>
        </w:rPr>
        <w:t>*</w:t>
      </w:r>
      <w:r>
        <w:rPr>
          <w:snapToGrid w:val="0"/>
          <w:kern w:val="0"/>
          <w:szCs w:val="21"/>
        </w:rPr>
        <w:t>3.3</w:t>
      </w:r>
      <w:r>
        <w:rPr>
          <w:rFonts w:hint="eastAsia"/>
          <w:snapToGrid w:val="0"/>
          <w:kern w:val="0"/>
          <w:szCs w:val="21"/>
        </w:rPr>
        <w:t xml:space="preserve"> 分站与分站</w:t>
      </w:r>
    </w:p>
    <w:p>
      <w:pPr>
        <w:widowControl/>
        <w:autoSpaceDE w:val="0"/>
        <w:autoSpaceDN w:val="0"/>
        <w:spacing w:line="360" w:lineRule="auto"/>
        <w:ind w:firstLine="420" w:firstLineChars="200"/>
        <w:rPr>
          <w:snapToGrid w:val="0"/>
          <w:kern w:val="0"/>
          <w:szCs w:val="21"/>
        </w:rPr>
      </w:pPr>
      <w:r>
        <w:rPr>
          <w:snapToGrid w:val="0"/>
          <w:kern w:val="0"/>
          <w:szCs w:val="21"/>
        </w:rPr>
        <w:t>1</w:t>
      </w:r>
      <w:r>
        <w:rPr>
          <w:rFonts w:hint="eastAsia"/>
          <w:snapToGrid w:val="0"/>
          <w:kern w:val="0"/>
          <w:szCs w:val="21"/>
        </w:rPr>
        <w:t>）接口数量：1路；</w:t>
      </w:r>
    </w:p>
    <w:p>
      <w:pPr>
        <w:widowControl/>
        <w:autoSpaceDE w:val="0"/>
        <w:autoSpaceDN w:val="0"/>
        <w:spacing w:line="360" w:lineRule="auto"/>
        <w:ind w:firstLine="420" w:firstLineChars="200"/>
        <w:rPr>
          <w:snapToGrid w:val="0"/>
          <w:kern w:val="0"/>
          <w:szCs w:val="21"/>
        </w:rPr>
      </w:pPr>
      <w:r>
        <w:rPr>
          <w:snapToGrid w:val="0"/>
          <w:kern w:val="0"/>
          <w:szCs w:val="21"/>
        </w:rPr>
        <w:t>2</w:t>
      </w:r>
      <w:r>
        <w:rPr>
          <w:rFonts w:hint="eastAsia"/>
          <w:snapToGrid w:val="0"/>
          <w:kern w:val="0"/>
          <w:szCs w:val="21"/>
        </w:rPr>
        <w:t>）传输方式：全双工，TCP/IP协议，光传输；</w:t>
      </w:r>
    </w:p>
    <w:p>
      <w:pPr>
        <w:widowControl/>
        <w:autoSpaceDE w:val="0"/>
        <w:autoSpaceDN w:val="0"/>
        <w:spacing w:line="360" w:lineRule="auto"/>
        <w:ind w:firstLine="420" w:firstLineChars="200"/>
        <w:rPr>
          <w:snapToGrid w:val="0"/>
          <w:kern w:val="0"/>
          <w:szCs w:val="21"/>
        </w:rPr>
      </w:pPr>
      <w:r>
        <w:rPr>
          <w:snapToGrid w:val="0"/>
          <w:kern w:val="0"/>
          <w:szCs w:val="21"/>
        </w:rPr>
        <w:t>3</w:t>
      </w:r>
      <w:r>
        <w:rPr>
          <w:rFonts w:hint="eastAsia"/>
          <w:snapToGrid w:val="0"/>
          <w:kern w:val="0"/>
          <w:szCs w:val="21"/>
        </w:rPr>
        <w:t>）传输速率：100Mbps。</w:t>
      </w:r>
    </w:p>
    <w:p>
      <w:pPr>
        <w:spacing w:line="360" w:lineRule="auto"/>
        <w:rPr>
          <w:szCs w:val="21"/>
        </w:rPr>
      </w:pPr>
      <w:r>
        <w:rPr>
          <w:rFonts w:hint="eastAsia" w:ascii="宋体" w:hAnsi="宋体"/>
          <w:szCs w:val="21"/>
        </w:rPr>
        <w:t>*</w:t>
      </w:r>
      <w:r>
        <w:rPr>
          <w:szCs w:val="21"/>
        </w:rPr>
        <w:t>4．安全技术要求</w:t>
      </w:r>
    </w:p>
    <w:p>
      <w:pPr>
        <w:adjustRightInd w:val="0"/>
        <w:snapToGrid w:val="0"/>
        <w:spacing w:line="360" w:lineRule="auto"/>
        <w:ind w:firstLine="420" w:firstLineChars="200"/>
        <w:rPr>
          <w:color w:val="FF0000"/>
          <w:szCs w:val="21"/>
        </w:rPr>
      </w:pPr>
      <w:r>
        <w:rPr>
          <w:szCs w:val="21"/>
        </w:rPr>
        <w:t>3.1 必须提供防爆合格证</w:t>
      </w:r>
      <w:r>
        <w:rPr>
          <w:rFonts w:hint="eastAsia"/>
          <w:color w:val="000000" w:themeColor="text1"/>
          <w:szCs w:val="21"/>
        </w:rPr>
        <w:t>，</w:t>
      </w:r>
      <w:r>
        <w:rPr>
          <w:color w:val="000000" w:themeColor="text1"/>
          <w:szCs w:val="21"/>
        </w:rPr>
        <w:t>防爆标志：Exd[ib]I</w:t>
      </w:r>
      <w:r>
        <w:rPr>
          <w:rFonts w:hint="eastAsia"/>
          <w:color w:val="000000" w:themeColor="text1"/>
          <w:szCs w:val="21"/>
        </w:rPr>
        <w:t xml:space="preserve"> 和</w:t>
      </w:r>
      <w:r>
        <w:rPr>
          <w:rFonts w:hint="eastAsia"/>
          <w:color w:val="000000" w:themeColor="text1"/>
          <w:szCs w:val="20"/>
        </w:rPr>
        <w:t>Ex</w:t>
      </w:r>
      <w:r>
        <w:rPr>
          <w:color w:val="000000" w:themeColor="text1"/>
          <w:szCs w:val="20"/>
        </w:rPr>
        <w:t xml:space="preserve"> </w:t>
      </w:r>
      <w:r>
        <w:rPr>
          <w:rFonts w:hint="eastAsia"/>
          <w:color w:val="000000" w:themeColor="text1"/>
          <w:szCs w:val="20"/>
        </w:rPr>
        <w:t>ib</w:t>
      </w:r>
      <w:r>
        <w:rPr>
          <w:color w:val="000000" w:themeColor="text1"/>
          <w:szCs w:val="20"/>
        </w:rPr>
        <w:t xml:space="preserve"> </w:t>
      </w:r>
      <w:r>
        <w:rPr>
          <w:rFonts w:hint="eastAsia"/>
          <w:color w:val="000000" w:themeColor="text1"/>
          <w:szCs w:val="20"/>
        </w:rPr>
        <w:t>I</w:t>
      </w:r>
      <w:r>
        <w:rPr>
          <w:color w:val="000000" w:themeColor="text1"/>
          <w:szCs w:val="20"/>
        </w:rPr>
        <w:t xml:space="preserve"> </w:t>
      </w:r>
      <w:r>
        <w:rPr>
          <w:rFonts w:hint="eastAsia"/>
          <w:color w:val="000000" w:themeColor="text1"/>
          <w:szCs w:val="20"/>
        </w:rPr>
        <w:t>Mb</w:t>
      </w:r>
      <w:r>
        <w:rPr>
          <w:color w:val="000000" w:themeColor="text1"/>
          <w:szCs w:val="21"/>
        </w:rPr>
        <w:t>。</w:t>
      </w:r>
    </w:p>
    <w:p>
      <w:pPr>
        <w:adjustRightInd w:val="0"/>
        <w:snapToGrid w:val="0"/>
        <w:spacing w:line="360" w:lineRule="auto"/>
        <w:ind w:firstLine="420" w:firstLineChars="200"/>
        <w:rPr>
          <w:szCs w:val="21"/>
        </w:rPr>
      </w:pPr>
      <w:r>
        <w:rPr>
          <w:szCs w:val="21"/>
        </w:rPr>
        <w:t xml:space="preserve">3.2 </w:t>
      </w:r>
      <w:r>
        <w:rPr>
          <w:rFonts w:hint="eastAsia"/>
          <w:szCs w:val="21"/>
        </w:rPr>
        <w:t>具有MA安全标志。</w:t>
      </w:r>
    </w:p>
    <w:p>
      <w:pPr>
        <w:adjustRightInd w:val="0"/>
        <w:snapToGrid w:val="0"/>
        <w:spacing w:line="360" w:lineRule="auto"/>
        <w:ind w:firstLine="420" w:firstLineChars="200"/>
        <w:rPr>
          <w:szCs w:val="21"/>
        </w:rPr>
      </w:pPr>
      <w:r>
        <w:rPr>
          <w:rFonts w:hint="eastAsia"/>
          <w:szCs w:val="21"/>
        </w:rPr>
        <w:t xml:space="preserve">3.3 </w:t>
      </w:r>
      <w:r>
        <w:rPr>
          <w:szCs w:val="21"/>
        </w:rPr>
        <w:t>使用前必须要厂家进行培训指导。</w:t>
      </w:r>
    </w:p>
    <w:p>
      <w:pPr>
        <w:spacing w:line="360" w:lineRule="auto"/>
        <w:rPr>
          <w:szCs w:val="21"/>
        </w:rPr>
      </w:pPr>
      <w:r>
        <w:rPr>
          <w:szCs w:val="21"/>
        </w:rPr>
        <w:t>5.标准</w:t>
      </w:r>
    </w:p>
    <w:p>
      <w:pPr>
        <w:pStyle w:val="16"/>
        <w:tabs>
          <w:tab w:val="left" w:pos="1290"/>
          <w:tab w:val="left" w:pos="1680"/>
        </w:tabs>
        <w:adjustRightInd w:val="0"/>
        <w:snapToGrid w:val="0"/>
        <w:spacing w:before="0" w:after="0" w:line="360" w:lineRule="auto"/>
        <w:ind w:firstLine="420" w:firstLineChars="200"/>
        <w:jc w:val="both"/>
        <w:rPr>
          <w:rFonts w:ascii="Times New Roman"/>
          <w:sz w:val="21"/>
          <w:szCs w:val="21"/>
        </w:rPr>
      </w:pPr>
      <w:r>
        <w:rPr>
          <w:rFonts w:ascii="Times New Roman"/>
          <w:sz w:val="21"/>
          <w:szCs w:val="21"/>
        </w:rPr>
        <w:t>5.1.设备的设计与制造要求采用国际公制单位，个别部件采用英制单位应列出清单。</w:t>
      </w:r>
    </w:p>
    <w:p>
      <w:pPr>
        <w:pStyle w:val="16"/>
        <w:tabs>
          <w:tab w:val="left" w:pos="1290"/>
          <w:tab w:val="left" w:pos="1680"/>
        </w:tabs>
        <w:adjustRightInd w:val="0"/>
        <w:snapToGrid w:val="0"/>
        <w:spacing w:before="0" w:after="0" w:line="360" w:lineRule="auto"/>
        <w:ind w:firstLine="420" w:firstLineChars="200"/>
        <w:jc w:val="both"/>
        <w:rPr>
          <w:rFonts w:ascii="Times New Roman"/>
          <w:sz w:val="21"/>
          <w:szCs w:val="21"/>
        </w:rPr>
      </w:pPr>
      <w:r>
        <w:rPr>
          <w:rFonts w:ascii="Times New Roman"/>
          <w:sz w:val="21"/>
          <w:szCs w:val="21"/>
        </w:rPr>
        <w:t>5.2.防爆电气设备应按中国国家防爆标准或其它中国防爆检验部门认可的标准制造。</w:t>
      </w:r>
    </w:p>
    <w:p>
      <w:pPr>
        <w:adjustRightInd w:val="0"/>
        <w:snapToGrid w:val="0"/>
        <w:spacing w:line="360" w:lineRule="auto"/>
        <w:ind w:firstLine="420" w:firstLineChars="200"/>
        <w:rPr>
          <w:szCs w:val="21"/>
        </w:rPr>
      </w:pPr>
      <w:r>
        <w:rPr>
          <w:szCs w:val="21"/>
        </w:rPr>
        <w:t>5.3.上述标准均应为投标截止日时的最新有效版。</w:t>
      </w:r>
    </w:p>
    <w:p>
      <w:pPr>
        <w:adjustRightInd w:val="0"/>
        <w:snapToGrid w:val="0"/>
        <w:spacing w:line="360" w:lineRule="auto"/>
        <w:rPr>
          <w:szCs w:val="21"/>
        </w:rPr>
      </w:pPr>
      <w:r>
        <w:rPr>
          <w:szCs w:val="21"/>
        </w:rPr>
        <w:t>6 需要特别说明的其他问题</w:t>
      </w:r>
    </w:p>
    <w:p>
      <w:pPr>
        <w:adjustRightInd w:val="0"/>
        <w:snapToGrid w:val="0"/>
        <w:spacing w:line="360" w:lineRule="auto"/>
        <w:ind w:firstLine="420" w:firstLineChars="200"/>
        <w:rPr>
          <w:szCs w:val="21"/>
        </w:rPr>
      </w:pPr>
      <w:r>
        <w:rPr>
          <w:rFonts w:hint="eastAsia" w:ascii="宋体" w:hAnsi="宋体"/>
          <w:szCs w:val="21"/>
        </w:rPr>
        <w:t>*</w:t>
      </w:r>
      <w:r>
        <w:rPr>
          <w:szCs w:val="21"/>
        </w:rPr>
        <w:t>1</w:t>
      </w:r>
      <w:r>
        <w:rPr>
          <w:rFonts w:hint="eastAsia"/>
          <w:szCs w:val="21"/>
        </w:rPr>
        <w:t>）</w:t>
      </w:r>
      <w:r>
        <w:rPr>
          <w:szCs w:val="21"/>
        </w:rPr>
        <w:t>必须对标书的技术条款分项逐条解释、响应并满足工作环境要求。</w:t>
      </w:r>
    </w:p>
    <w:p>
      <w:pPr>
        <w:adjustRightInd w:val="0"/>
        <w:snapToGrid w:val="0"/>
        <w:spacing w:line="360" w:lineRule="auto"/>
        <w:ind w:firstLine="420" w:firstLineChars="200"/>
        <w:rPr>
          <w:szCs w:val="21"/>
        </w:rPr>
      </w:pPr>
      <w:r>
        <w:rPr>
          <w:rFonts w:hint="eastAsia" w:ascii="宋体" w:hAnsi="宋体"/>
          <w:szCs w:val="21"/>
        </w:rPr>
        <w:t>*</w:t>
      </w:r>
      <w:r>
        <w:rPr>
          <w:szCs w:val="21"/>
        </w:rPr>
        <w:t>2</w:t>
      </w:r>
      <w:r>
        <w:rPr>
          <w:rFonts w:hint="eastAsia"/>
          <w:szCs w:val="21"/>
        </w:rPr>
        <w:t>）</w:t>
      </w:r>
      <w:r>
        <w:rPr>
          <w:szCs w:val="21"/>
        </w:rPr>
        <w:t>上表分项报价合计价格与投标报价设备总价格必须一致。</w:t>
      </w:r>
    </w:p>
    <w:p>
      <w:pPr>
        <w:adjustRightInd w:val="0"/>
        <w:snapToGrid w:val="0"/>
        <w:spacing w:line="360" w:lineRule="auto"/>
        <w:ind w:firstLine="420" w:firstLineChars="200"/>
        <w:rPr>
          <w:szCs w:val="21"/>
        </w:rPr>
      </w:pPr>
      <w:r>
        <w:rPr>
          <w:rFonts w:hint="eastAsia" w:ascii="宋体" w:hAnsi="宋体"/>
          <w:szCs w:val="21"/>
        </w:rPr>
        <w:t>*</w:t>
      </w:r>
      <w:r>
        <w:rPr>
          <w:szCs w:val="21"/>
        </w:rPr>
        <w:t>3</w:t>
      </w:r>
      <w:r>
        <w:rPr>
          <w:rFonts w:hint="eastAsia"/>
          <w:szCs w:val="21"/>
        </w:rPr>
        <w:t>）</w:t>
      </w:r>
      <w:r>
        <w:rPr>
          <w:szCs w:val="21"/>
        </w:rPr>
        <w:t>负责按购销协议规定的时间免费进行现场指导和调试、确保仪器的正常运转，随机提供设备的使用说明书、产品合格证等资料。</w:t>
      </w:r>
    </w:p>
    <w:p>
      <w:pPr>
        <w:adjustRightInd w:val="0"/>
        <w:snapToGrid w:val="0"/>
        <w:spacing w:line="360" w:lineRule="auto"/>
        <w:ind w:firstLine="420" w:firstLineChars="200"/>
        <w:rPr>
          <w:szCs w:val="21"/>
        </w:rPr>
      </w:pPr>
      <w:r>
        <w:rPr>
          <w:rFonts w:hint="eastAsia" w:ascii="宋体" w:hAnsi="宋体"/>
          <w:szCs w:val="21"/>
        </w:rPr>
        <w:t>*</w:t>
      </w:r>
      <w:r>
        <w:rPr>
          <w:szCs w:val="21"/>
        </w:rPr>
        <w:t>4</w:t>
      </w:r>
      <w:r>
        <w:rPr>
          <w:rFonts w:hint="eastAsia"/>
          <w:szCs w:val="21"/>
        </w:rPr>
        <w:t>）</w:t>
      </w:r>
      <w:r>
        <w:rPr>
          <w:szCs w:val="21"/>
        </w:rPr>
        <w:t>设备质保期1年，终身维护，质保期内由乙方设计、配套、制造不合格而造成的系统不正常运行，由乙方负责免费更换或者维修，保证甲方的正常生产。</w:t>
      </w:r>
    </w:p>
    <w:p>
      <w:pPr>
        <w:adjustRightInd w:val="0"/>
        <w:snapToGrid w:val="0"/>
        <w:spacing w:line="360" w:lineRule="auto"/>
        <w:ind w:firstLine="420" w:firstLineChars="200"/>
        <w:rPr>
          <w:szCs w:val="21"/>
        </w:rPr>
      </w:pPr>
      <w:r>
        <w:rPr>
          <w:rFonts w:hint="eastAsia" w:ascii="宋体" w:hAnsi="宋体"/>
          <w:szCs w:val="21"/>
        </w:rPr>
        <w:t>*</w:t>
      </w:r>
      <w:r>
        <w:rPr>
          <w:szCs w:val="21"/>
        </w:rPr>
        <w:t>5</w:t>
      </w:r>
      <w:r>
        <w:rPr>
          <w:rFonts w:hint="eastAsia"/>
          <w:szCs w:val="21"/>
        </w:rPr>
        <w:t>）</w:t>
      </w:r>
      <w:r>
        <w:rPr>
          <w:szCs w:val="21"/>
        </w:rPr>
        <w:t>提供及时可靠的售后服务，系统软件方面，乙方保证后期免费升级维护。产品在运行过程中出现问题，保证在48小时内到达现场进行维护。</w:t>
      </w:r>
    </w:p>
    <w:p>
      <w:pPr>
        <w:adjustRightInd w:val="0"/>
        <w:snapToGrid w:val="0"/>
        <w:spacing w:line="360" w:lineRule="auto"/>
        <w:ind w:firstLine="420" w:firstLineChars="200"/>
        <w:rPr>
          <w:color w:val="000000" w:themeColor="text1"/>
          <w:szCs w:val="21"/>
        </w:rPr>
      </w:pPr>
      <w:r>
        <w:rPr>
          <w:rFonts w:hint="eastAsia" w:ascii="宋体" w:hAnsi="宋体"/>
          <w:szCs w:val="21"/>
        </w:rPr>
        <w:t>*</w:t>
      </w:r>
      <w:r>
        <w:rPr>
          <w:color w:val="000000" w:themeColor="text1"/>
          <w:szCs w:val="21"/>
        </w:rPr>
        <w:t>6</w:t>
      </w:r>
      <w:r>
        <w:rPr>
          <w:rFonts w:hint="eastAsia"/>
          <w:color w:val="000000" w:themeColor="text1"/>
          <w:szCs w:val="21"/>
        </w:rPr>
        <w:t>）系统、井下监测分站、电源箱、压力传感器和照明综保均需符合矿用隔爆设备要求，具有防爆合格证和矿用产品安全标志证书。</w:t>
      </w:r>
    </w:p>
    <w:p>
      <w:pPr>
        <w:adjustRightInd w:val="0"/>
        <w:snapToGrid w:val="0"/>
        <w:spacing w:line="360" w:lineRule="auto"/>
        <w:ind w:firstLine="420" w:firstLineChars="200"/>
        <w:rPr>
          <w:szCs w:val="21"/>
        </w:rPr>
      </w:pPr>
      <w:r>
        <w:rPr>
          <w:szCs w:val="21"/>
        </w:rPr>
        <w:t>7</w:t>
      </w:r>
      <w:r>
        <w:rPr>
          <w:rFonts w:hint="eastAsia"/>
          <w:szCs w:val="21"/>
        </w:rPr>
        <w:t>）未说明事项必须符合国家相关标准。</w:t>
      </w:r>
    </w:p>
    <w:p>
      <w:pPr>
        <w:adjustRightInd w:val="0"/>
        <w:snapToGrid w:val="0"/>
        <w:spacing w:before="312" w:beforeLines="100" w:after="312" w:afterLines="100" w:line="360" w:lineRule="auto"/>
        <w:rPr>
          <w:b/>
        </w:rPr>
      </w:pPr>
      <w:r>
        <w:rPr>
          <w:rFonts w:hint="eastAsia"/>
          <w:b/>
        </w:rPr>
        <w:t>四. 需投标人提供的技术参数</w:t>
      </w:r>
    </w:p>
    <w:p>
      <w:pPr>
        <w:pStyle w:val="13"/>
        <w:jc w:val="center"/>
      </w:pPr>
      <w:bookmarkStart w:id="2" w:name="_Toc357086143"/>
      <w:r>
        <w:rPr>
          <w:rFonts w:hint="eastAsia"/>
        </w:rPr>
        <w:t>第二节备件和工具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4"/>
        <w:adjustRightInd w:val="0"/>
        <w:snapToGrid w:val="0"/>
        <w:spacing w:before="156" w:beforeLines="50" w:line="360" w:lineRule="auto"/>
        <w:rPr>
          <w:rFonts w:ascii="宋体" w:hAnsi="宋体"/>
          <w:szCs w:val="21"/>
        </w:rPr>
      </w:pPr>
    </w:p>
    <w:p>
      <w:pPr>
        <w:pStyle w:val="13"/>
        <w:jc w:val="center"/>
      </w:pPr>
      <w:r>
        <w:rPr>
          <w:rFonts w:hint="eastAsia" w:ascii="宋体" w:hAnsi="宋体"/>
          <w:szCs w:val="21"/>
        </w:rPr>
        <w:br w:type="page"/>
      </w:r>
    </w:p>
    <w:p>
      <w:pPr>
        <w:pStyle w:val="13"/>
        <w:jc w:val="center"/>
      </w:pPr>
      <w:bookmarkStart w:id="3" w:name="_Toc357086144"/>
      <w:r>
        <w:rPr>
          <w:rFonts w:hint="eastAsia"/>
        </w:rPr>
        <w:t>第三节设备出厂前检验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4"/>
        <w:adjustRightInd w:val="0"/>
        <w:snapToGrid w:val="0"/>
        <w:spacing w:line="360" w:lineRule="auto"/>
        <w:rPr>
          <w:rFonts w:ascii="宋体" w:hAnsi="宋体"/>
          <w:szCs w:val="21"/>
        </w:rPr>
      </w:pPr>
    </w:p>
    <w:p>
      <w:pPr>
        <w:pStyle w:val="13"/>
        <w:jc w:val="center"/>
      </w:pPr>
      <w:r>
        <w:rPr>
          <w:rFonts w:hint="eastAsia" w:ascii="宋体" w:hAnsi="宋体"/>
          <w:szCs w:val="21"/>
        </w:rPr>
        <w:br w:type="page"/>
      </w:r>
      <w:bookmarkStart w:id="4" w:name="_Toc357086145"/>
      <w:r>
        <w:rPr>
          <w:rFonts w:hint="eastAsia"/>
        </w:rPr>
        <w:t>第四节技术服务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156"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3"/>
        <w:jc w:val="center"/>
      </w:pPr>
      <w:r>
        <w:rPr>
          <w:rFonts w:hint="eastAsia" w:ascii="宋体" w:hAnsi="宋体"/>
          <w:szCs w:val="21"/>
        </w:rPr>
        <w:br w:type="page"/>
      </w:r>
      <w:bookmarkStart w:id="5" w:name="_Toc357086146"/>
      <w:r>
        <w:rPr>
          <w:rFonts w:hint="eastAsia"/>
        </w:rPr>
        <w:t>第五节安装、检验、调试、试运行及验收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设备到货应随机提供出厂检验合格证。</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4、包装：必须按照双方约定的包装要求包装，如无约定的要按照中国国家标准、规范以及国际标准和双方认可的标准进行包装。</w:t>
      </w:r>
      <w:bookmarkStart w:id="6" w:name="_Toc357086147"/>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560" w:hanging="560" w:hangingChars="200"/>
        <w:jc w:val="center"/>
        <w:rPr>
          <w:rFonts w:ascii="宋体" w:hAnsi="宋体"/>
          <w:color w:val="FF0000"/>
          <w:szCs w:val="21"/>
        </w:rPr>
      </w:pPr>
      <w:r>
        <w:rPr>
          <w:rFonts w:hint="eastAsia" w:eastAsia="黑体" w:cs="宋体"/>
          <w:sz w:val="28"/>
          <w:szCs w:val="20"/>
        </w:rPr>
        <w:t>第六节质量保证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8"/>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3"/>
        <w:jc w:val="center"/>
      </w:pPr>
      <w:r>
        <w:rPr>
          <w:rFonts w:hint="eastAsia" w:ascii="宋体" w:hAnsi="宋体"/>
          <w:szCs w:val="21"/>
        </w:rPr>
        <w:br w:type="page"/>
      </w:r>
      <w:bookmarkStart w:id="7" w:name="_Toc357086148"/>
      <w:r>
        <w:rPr>
          <w:rFonts w:hint="eastAsia"/>
        </w:rPr>
        <w:t>第七节技术资料和图纸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tentative="0">
      <w:start w:val="1"/>
      <w:numFmt w:val="decimal"/>
      <w:pStyle w:val="2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8"/>
      <w:suff w:val="nothing"/>
      <w:lvlText w:val="%1.%2.%3　"/>
      <w:lvlJc w:val="left"/>
      <w:pPr>
        <w:ind w:left="525"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30"/>
      <w:suff w:val="nothing"/>
      <w:lvlText w:val="%1.%2.%3.%4.%5　"/>
      <w:lvlJc w:val="left"/>
      <w:pPr>
        <w:ind w:left="0" w:firstLine="0"/>
      </w:pPr>
      <w:rPr>
        <w:rFonts w:hint="eastAsia" w:ascii="黑体" w:hAnsi="Times New Roman" w:eastAsia="黑体"/>
        <w:b w:val="0"/>
        <w:i w:val="0"/>
        <w:sz w:val="21"/>
      </w:rPr>
    </w:lvl>
    <w:lvl w:ilvl="5" w:tentative="0">
      <w:start w:val="1"/>
      <w:numFmt w:val="decimal"/>
      <w:pStyle w:val="3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30E87BB7"/>
    <w:multiLevelType w:val="multilevel"/>
    <w:tmpl w:val="30E87BB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4C50F90"/>
    <w:multiLevelType w:val="multilevel"/>
    <w:tmpl w:val="44C50F90"/>
    <w:lvl w:ilvl="0" w:tentative="0">
      <w:start w:val="1"/>
      <w:numFmt w:val="lowerLetter"/>
      <w:pStyle w:val="2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2"/>
      <w:lvlText w:val="%2)"/>
      <w:lvlJc w:val="left"/>
      <w:pPr>
        <w:tabs>
          <w:tab w:val="left" w:pos="1365"/>
        </w:tabs>
        <w:ind w:left="1364"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DBF04F4"/>
    <w:multiLevelType w:val="multilevel"/>
    <w:tmpl w:val="6DBF04F4"/>
    <w:lvl w:ilvl="0" w:tentative="0">
      <w:start w:val="1"/>
      <w:numFmt w:val="none"/>
      <w:pStyle w:val="3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0754"/>
    <w:rsid w:val="00015381"/>
    <w:rsid w:val="00034491"/>
    <w:rsid w:val="000349FF"/>
    <w:rsid w:val="00040FAA"/>
    <w:rsid w:val="00046393"/>
    <w:rsid w:val="00062A06"/>
    <w:rsid w:val="00074BAA"/>
    <w:rsid w:val="000863F3"/>
    <w:rsid w:val="0008777B"/>
    <w:rsid w:val="000A16D5"/>
    <w:rsid w:val="000A5A26"/>
    <w:rsid w:val="000B4A8F"/>
    <w:rsid w:val="000B5D79"/>
    <w:rsid w:val="000C002E"/>
    <w:rsid w:val="000D1878"/>
    <w:rsid w:val="000D3CD0"/>
    <w:rsid w:val="000D5B51"/>
    <w:rsid w:val="000F7B2D"/>
    <w:rsid w:val="001074E3"/>
    <w:rsid w:val="00126C1B"/>
    <w:rsid w:val="00142DC8"/>
    <w:rsid w:val="00152AAB"/>
    <w:rsid w:val="00155A24"/>
    <w:rsid w:val="001608A6"/>
    <w:rsid w:val="00162CD6"/>
    <w:rsid w:val="0017236C"/>
    <w:rsid w:val="00173B13"/>
    <w:rsid w:val="00175505"/>
    <w:rsid w:val="001803C1"/>
    <w:rsid w:val="001845E8"/>
    <w:rsid w:val="001B0E84"/>
    <w:rsid w:val="001C2A35"/>
    <w:rsid w:val="001F6B61"/>
    <w:rsid w:val="00202031"/>
    <w:rsid w:val="00205A97"/>
    <w:rsid w:val="00207DB2"/>
    <w:rsid w:val="00213B0F"/>
    <w:rsid w:val="00217943"/>
    <w:rsid w:val="0023500D"/>
    <w:rsid w:val="0024361C"/>
    <w:rsid w:val="00243A5C"/>
    <w:rsid w:val="00247066"/>
    <w:rsid w:val="00254199"/>
    <w:rsid w:val="00261099"/>
    <w:rsid w:val="002624B7"/>
    <w:rsid w:val="002633A5"/>
    <w:rsid w:val="002673DB"/>
    <w:rsid w:val="002902C1"/>
    <w:rsid w:val="00292D0F"/>
    <w:rsid w:val="002A0807"/>
    <w:rsid w:val="002C2B1B"/>
    <w:rsid w:val="002D2543"/>
    <w:rsid w:val="002D5BFD"/>
    <w:rsid w:val="002E17F4"/>
    <w:rsid w:val="002E4385"/>
    <w:rsid w:val="0030306D"/>
    <w:rsid w:val="00305863"/>
    <w:rsid w:val="003133E1"/>
    <w:rsid w:val="0031441C"/>
    <w:rsid w:val="00315A14"/>
    <w:rsid w:val="00324547"/>
    <w:rsid w:val="00324AED"/>
    <w:rsid w:val="003370AA"/>
    <w:rsid w:val="003417A1"/>
    <w:rsid w:val="00343D04"/>
    <w:rsid w:val="003538D6"/>
    <w:rsid w:val="00355943"/>
    <w:rsid w:val="0035699D"/>
    <w:rsid w:val="0036001B"/>
    <w:rsid w:val="00362136"/>
    <w:rsid w:val="003708D1"/>
    <w:rsid w:val="0038648C"/>
    <w:rsid w:val="00386656"/>
    <w:rsid w:val="003A43AD"/>
    <w:rsid w:val="003A713F"/>
    <w:rsid w:val="003B3F9D"/>
    <w:rsid w:val="003B7511"/>
    <w:rsid w:val="003C07FE"/>
    <w:rsid w:val="003D0832"/>
    <w:rsid w:val="003D621C"/>
    <w:rsid w:val="003F38A7"/>
    <w:rsid w:val="004021E7"/>
    <w:rsid w:val="00405B14"/>
    <w:rsid w:val="00413602"/>
    <w:rsid w:val="00415933"/>
    <w:rsid w:val="004171CC"/>
    <w:rsid w:val="00424C95"/>
    <w:rsid w:val="00433399"/>
    <w:rsid w:val="00462545"/>
    <w:rsid w:val="0046284D"/>
    <w:rsid w:val="00462AF9"/>
    <w:rsid w:val="00481D87"/>
    <w:rsid w:val="00491D06"/>
    <w:rsid w:val="004954E0"/>
    <w:rsid w:val="00496FA8"/>
    <w:rsid w:val="004A5487"/>
    <w:rsid w:val="004B0DB4"/>
    <w:rsid w:val="004C4154"/>
    <w:rsid w:val="004D4587"/>
    <w:rsid w:val="004D55B5"/>
    <w:rsid w:val="004E0346"/>
    <w:rsid w:val="004E5B57"/>
    <w:rsid w:val="004F5D0C"/>
    <w:rsid w:val="00501850"/>
    <w:rsid w:val="00502BE3"/>
    <w:rsid w:val="0050670E"/>
    <w:rsid w:val="0050775B"/>
    <w:rsid w:val="005210D7"/>
    <w:rsid w:val="005210E1"/>
    <w:rsid w:val="00522FE4"/>
    <w:rsid w:val="005244BB"/>
    <w:rsid w:val="00524A09"/>
    <w:rsid w:val="005357F0"/>
    <w:rsid w:val="00556ED0"/>
    <w:rsid w:val="00564646"/>
    <w:rsid w:val="005858A0"/>
    <w:rsid w:val="00595E43"/>
    <w:rsid w:val="00596F47"/>
    <w:rsid w:val="005A2EE9"/>
    <w:rsid w:val="005A6A5C"/>
    <w:rsid w:val="005B7C05"/>
    <w:rsid w:val="005C1073"/>
    <w:rsid w:val="005C2EC1"/>
    <w:rsid w:val="005D117A"/>
    <w:rsid w:val="005D2980"/>
    <w:rsid w:val="005E1806"/>
    <w:rsid w:val="005E2C8D"/>
    <w:rsid w:val="005F4C97"/>
    <w:rsid w:val="005F6C66"/>
    <w:rsid w:val="00604F0E"/>
    <w:rsid w:val="00607817"/>
    <w:rsid w:val="006118E4"/>
    <w:rsid w:val="00616668"/>
    <w:rsid w:val="00644CBA"/>
    <w:rsid w:val="0064539F"/>
    <w:rsid w:val="00674855"/>
    <w:rsid w:val="00685FC8"/>
    <w:rsid w:val="0068763C"/>
    <w:rsid w:val="006939C6"/>
    <w:rsid w:val="00695B06"/>
    <w:rsid w:val="006B3D97"/>
    <w:rsid w:val="006C2B88"/>
    <w:rsid w:val="006C3017"/>
    <w:rsid w:val="006C3ED5"/>
    <w:rsid w:val="006D365C"/>
    <w:rsid w:val="006E52DC"/>
    <w:rsid w:val="006F11B7"/>
    <w:rsid w:val="006F5DF7"/>
    <w:rsid w:val="006F7261"/>
    <w:rsid w:val="00716A35"/>
    <w:rsid w:val="0072646E"/>
    <w:rsid w:val="00730552"/>
    <w:rsid w:val="0073246F"/>
    <w:rsid w:val="00734DF3"/>
    <w:rsid w:val="007404F7"/>
    <w:rsid w:val="0074278F"/>
    <w:rsid w:val="007561EE"/>
    <w:rsid w:val="00765FB3"/>
    <w:rsid w:val="00782F74"/>
    <w:rsid w:val="00786E22"/>
    <w:rsid w:val="00790A71"/>
    <w:rsid w:val="00796B6E"/>
    <w:rsid w:val="007A37E8"/>
    <w:rsid w:val="007A5778"/>
    <w:rsid w:val="007D1C2F"/>
    <w:rsid w:val="007E47D5"/>
    <w:rsid w:val="007E4D01"/>
    <w:rsid w:val="0080693E"/>
    <w:rsid w:val="00807102"/>
    <w:rsid w:val="00807CBD"/>
    <w:rsid w:val="00814321"/>
    <w:rsid w:val="008156D9"/>
    <w:rsid w:val="00821DA3"/>
    <w:rsid w:val="00826F56"/>
    <w:rsid w:val="00832480"/>
    <w:rsid w:val="0083250C"/>
    <w:rsid w:val="0083563D"/>
    <w:rsid w:val="00840C24"/>
    <w:rsid w:val="00843418"/>
    <w:rsid w:val="00845825"/>
    <w:rsid w:val="00853966"/>
    <w:rsid w:val="00855944"/>
    <w:rsid w:val="008666ED"/>
    <w:rsid w:val="008710A2"/>
    <w:rsid w:val="00881676"/>
    <w:rsid w:val="00882500"/>
    <w:rsid w:val="0088601A"/>
    <w:rsid w:val="00890998"/>
    <w:rsid w:val="00897BC6"/>
    <w:rsid w:val="008C2E31"/>
    <w:rsid w:val="008E4684"/>
    <w:rsid w:val="008F5B9D"/>
    <w:rsid w:val="00905422"/>
    <w:rsid w:val="009054B3"/>
    <w:rsid w:val="0092369C"/>
    <w:rsid w:val="0093622A"/>
    <w:rsid w:val="0094398A"/>
    <w:rsid w:val="00943FA8"/>
    <w:rsid w:val="00947716"/>
    <w:rsid w:val="00947E03"/>
    <w:rsid w:val="009555FC"/>
    <w:rsid w:val="00986153"/>
    <w:rsid w:val="00992860"/>
    <w:rsid w:val="00993163"/>
    <w:rsid w:val="009933CD"/>
    <w:rsid w:val="00996A9F"/>
    <w:rsid w:val="009A1731"/>
    <w:rsid w:val="009A229E"/>
    <w:rsid w:val="009B7AFD"/>
    <w:rsid w:val="009C06F9"/>
    <w:rsid w:val="009C560A"/>
    <w:rsid w:val="009D05E6"/>
    <w:rsid w:val="009D16D9"/>
    <w:rsid w:val="009F0088"/>
    <w:rsid w:val="009F700A"/>
    <w:rsid w:val="00A0156C"/>
    <w:rsid w:val="00A0492A"/>
    <w:rsid w:val="00A1147B"/>
    <w:rsid w:val="00A116B9"/>
    <w:rsid w:val="00A14213"/>
    <w:rsid w:val="00A215BA"/>
    <w:rsid w:val="00A22BC4"/>
    <w:rsid w:val="00A2367D"/>
    <w:rsid w:val="00A25B21"/>
    <w:rsid w:val="00A30913"/>
    <w:rsid w:val="00A36918"/>
    <w:rsid w:val="00A6162C"/>
    <w:rsid w:val="00A678FB"/>
    <w:rsid w:val="00A67AA5"/>
    <w:rsid w:val="00A8273B"/>
    <w:rsid w:val="00A90896"/>
    <w:rsid w:val="00A9110C"/>
    <w:rsid w:val="00AA1072"/>
    <w:rsid w:val="00AA563E"/>
    <w:rsid w:val="00AB7D21"/>
    <w:rsid w:val="00AB7E73"/>
    <w:rsid w:val="00AC0011"/>
    <w:rsid w:val="00AC3394"/>
    <w:rsid w:val="00AD10CE"/>
    <w:rsid w:val="00AD397E"/>
    <w:rsid w:val="00AD68D8"/>
    <w:rsid w:val="00AE2322"/>
    <w:rsid w:val="00AE3F1F"/>
    <w:rsid w:val="00AE66AF"/>
    <w:rsid w:val="00AF260A"/>
    <w:rsid w:val="00B031C1"/>
    <w:rsid w:val="00B03A0D"/>
    <w:rsid w:val="00B045D4"/>
    <w:rsid w:val="00B10346"/>
    <w:rsid w:val="00B15920"/>
    <w:rsid w:val="00B1737F"/>
    <w:rsid w:val="00B24159"/>
    <w:rsid w:val="00B246C9"/>
    <w:rsid w:val="00B335EE"/>
    <w:rsid w:val="00B42553"/>
    <w:rsid w:val="00B45AE6"/>
    <w:rsid w:val="00B479F5"/>
    <w:rsid w:val="00B615D0"/>
    <w:rsid w:val="00B6712E"/>
    <w:rsid w:val="00B73000"/>
    <w:rsid w:val="00B81CAE"/>
    <w:rsid w:val="00B8459D"/>
    <w:rsid w:val="00B8541F"/>
    <w:rsid w:val="00B93EF8"/>
    <w:rsid w:val="00BB3B5C"/>
    <w:rsid w:val="00BC1A1D"/>
    <w:rsid w:val="00BC7874"/>
    <w:rsid w:val="00BC7C25"/>
    <w:rsid w:val="00BD126A"/>
    <w:rsid w:val="00BD3068"/>
    <w:rsid w:val="00BF1B41"/>
    <w:rsid w:val="00C005E2"/>
    <w:rsid w:val="00C04844"/>
    <w:rsid w:val="00C107FD"/>
    <w:rsid w:val="00C22C5C"/>
    <w:rsid w:val="00C3204C"/>
    <w:rsid w:val="00C4115D"/>
    <w:rsid w:val="00C41F03"/>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C7F3A"/>
    <w:rsid w:val="00CD5D1D"/>
    <w:rsid w:val="00CE2302"/>
    <w:rsid w:val="00CE7DE7"/>
    <w:rsid w:val="00CF0403"/>
    <w:rsid w:val="00CF1FC1"/>
    <w:rsid w:val="00CF3036"/>
    <w:rsid w:val="00CF6291"/>
    <w:rsid w:val="00D01CF7"/>
    <w:rsid w:val="00D04856"/>
    <w:rsid w:val="00D10234"/>
    <w:rsid w:val="00D15AFD"/>
    <w:rsid w:val="00D32228"/>
    <w:rsid w:val="00D33006"/>
    <w:rsid w:val="00D36C77"/>
    <w:rsid w:val="00D43F0D"/>
    <w:rsid w:val="00D45A07"/>
    <w:rsid w:val="00D50A55"/>
    <w:rsid w:val="00D51332"/>
    <w:rsid w:val="00D70C52"/>
    <w:rsid w:val="00D93117"/>
    <w:rsid w:val="00D95D3F"/>
    <w:rsid w:val="00DA149B"/>
    <w:rsid w:val="00DA22D4"/>
    <w:rsid w:val="00DA4732"/>
    <w:rsid w:val="00DC0DF1"/>
    <w:rsid w:val="00DC42CF"/>
    <w:rsid w:val="00DD144E"/>
    <w:rsid w:val="00DD1B16"/>
    <w:rsid w:val="00DD3E50"/>
    <w:rsid w:val="00DE0832"/>
    <w:rsid w:val="00DE1BDB"/>
    <w:rsid w:val="00DE243A"/>
    <w:rsid w:val="00E00421"/>
    <w:rsid w:val="00E050EF"/>
    <w:rsid w:val="00E079BE"/>
    <w:rsid w:val="00E10788"/>
    <w:rsid w:val="00E12326"/>
    <w:rsid w:val="00E12EBD"/>
    <w:rsid w:val="00E17E02"/>
    <w:rsid w:val="00E31812"/>
    <w:rsid w:val="00E33525"/>
    <w:rsid w:val="00E369FE"/>
    <w:rsid w:val="00E4526B"/>
    <w:rsid w:val="00E45EEA"/>
    <w:rsid w:val="00E461DF"/>
    <w:rsid w:val="00E47A3B"/>
    <w:rsid w:val="00E541DE"/>
    <w:rsid w:val="00E62120"/>
    <w:rsid w:val="00E70FE5"/>
    <w:rsid w:val="00E73DE8"/>
    <w:rsid w:val="00E74C50"/>
    <w:rsid w:val="00E8366B"/>
    <w:rsid w:val="00E837BE"/>
    <w:rsid w:val="00EA3C6E"/>
    <w:rsid w:val="00EB08C9"/>
    <w:rsid w:val="00EB7AB9"/>
    <w:rsid w:val="00EC35BC"/>
    <w:rsid w:val="00EC5962"/>
    <w:rsid w:val="00ED4CAE"/>
    <w:rsid w:val="00EE23A6"/>
    <w:rsid w:val="00EE66B8"/>
    <w:rsid w:val="00F01DCB"/>
    <w:rsid w:val="00F02E92"/>
    <w:rsid w:val="00F15AC7"/>
    <w:rsid w:val="00F16511"/>
    <w:rsid w:val="00F24373"/>
    <w:rsid w:val="00F3355C"/>
    <w:rsid w:val="00F43474"/>
    <w:rsid w:val="00F54464"/>
    <w:rsid w:val="00F54953"/>
    <w:rsid w:val="00F612D4"/>
    <w:rsid w:val="00F66B44"/>
    <w:rsid w:val="00F76074"/>
    <w:rsid w:val="00F76586"/>
    <w:rsid w:val="00F92D03"/>
    <w:rsid w:val="00FA6B21"/>
    <w:rsid w:val="00FB3542"/>
    <w:rsid w:val="00FC6B4B"/>
    <w:rsid w:val="00FD776B"/>
    <w:rsid w:val="00FE5241"/>
    <w:rsid w:val="00FF6988"/>
    <w:rsid w:val="09CD1264"/>
    <w:rsid w:val="394C3F79"/>
    <w:rsid w:val="7FDC0C3E"/>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7"/>
    <w:qFormat/>
    <w:uiPriority w:val="0"/>
    <w:pPr>
      <w:spacing w:after="120"/>
    </w:pPr>
  </w:style>
  <w:style w:type="paragraph" w:styleId="5">
    <w:name w:val="Date"/>
    <w:basedOn w:val="1"/>
    <w:next w:val="1"/>
    <w:link w:val="33"/>
    <w:unhideWhenUsed/>
    <w:qFormat/>
    <w:uiPriority w:val="99"/>
    <w:pPr>
      <w:ind w:left="100" w:leftChars="2500"/>
    </w:p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14"/>
    <w:qFormat/>
    <w:uiPriority w:val="0"/>
    <w:pPr>
      <w:snapToGrid w:val="0"/>
      <w:jc w:val="left"/>
    </w:pPr>
    <w:rPr>
      <w:sz w:val="18"/>
      <w:szCs w:val="18"/>
    </w:rPr>
  </w:style>
  <w:style w:type="character" w:styleId="10">
    <w:name w:val="footnote reference"/>
    <w:qFormat/>
    <w:uiPriority w:val="0"/>
    <w:rPr>
      <w:vertAlign w:val="superscript"/>
    </w:rPr>
  </w:style>
  <w:style w:type="character" w:customStyle="1" w:styleId="12">
    <w:name w:val="标题 1 Char"/>
    <w:basedOn w:val="9"/>
    <w:link w:val="2"/>
    <w:qFormat/>
    <w:uiPriority w:val="0"/>
    <w:rPr>
      <w:rFonts w:ascii="Times New Roman" w:hAnsi="Times New Roman" w:eastAsia="宋体" w:cs="Times New Roman"/>
      <w:b/>
      <w:bCs/>
      <w:kern w:val="44"/>
      <w:sz w:val="44"/>
      <w:szCs w:val="44"/>
    </w:rPr>
  </w:style>
  <w:style w:type="paragraph" w:customStyle="1" w:styleId="13">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4">
    <w:name w:val="脚注文本 Char"/>
    <w:basedOn w:val="9"/>
    <w:link w:val="8"/>
    <w:qFormat/>
    <w:uiPriority w:val="0"/>
    <w:rPr>
      <w:rFonts w:ascii="Times New Roman" w:hAnsi="Times New Roman" w:eastAsia="宋体" w:cs="Times New Roman"/>
      <w:sz w:val="18"/>
      <w:szCs w:val="18"/>
    </w:rPr>
  </w:style>
  <w:style w:type="character" w:customStyle="1" w:styleId="15">
    <w:name w:val="标题 2 Char"/>
    <w:basedOn w:val="9"/>
    <w:link w:val="3"/>
    <w:semiHidden/>
    <w:qFormat/>
    <w:uiPriority w:val="9"/>
    <w:rPr>
      <w:rFonts w:asciiTheme="majorHAnsi" w:hAnsiTheme="majorHAnsi" w:eastAsiaTheme="majorEastAsia" w:cstheme="majorBidi"/>
      <w:b/>
      <w:bCs/>
      <w:sz w:val="32"/>
      <w:szCs w:val="32"/>
    </w:rPr>
  </w:style>
  <w:style w:type="paragraph" w:customStyle="1" w:styleId="16">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17">
    <w:name w:val="正文文本 Char"/>
    <w:basedOn w:val="9"/>
    <w:link w:val="4"/>
    <w:qFormat/>
    <w:uiPriority w:val="0"/>
    <w:rPr>
      <w:rFonts w:ascii="Times New Roman" w:hAnsi="Times New Roman" w:eastAsia="宋体" w:cs="Times New Roman"/>
      <w:szCs w:val="24"/>
    </w:rPr>
  </w:style>
  <w:style w:type="paragraph" w:customStyle="1" w:styleId="18">
    <w:name w:val="List Paragraph"/>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20">
    <w:name w:val="页眉 Char"/>
    <w:basedOn w:val="9"/>
    <w:link w:val="7"/>
    <w:semiHidden/>
    <w:qFormat/>
    <w:uiPriority w:val="99"/>
    <w:rPr>
      <w:rFonts w:ascii="Times New Roman" w:hAnsi="Times New Roman" w:eastAsia="宋体" w:cs="Times New Roman"/>
      <w:sz w:val="18"/>
      <w:szCs w:val="18"/>
    </w:rPr>
  </w:style>
  <w:style w:type="character" w:customStyle="1" w:styleId="21">
    <w:name w:val="页脚 Char"/>
    <w:basedOn w:val="9"/>
    <w:link w:val="6"/>
    <w:semiHidden/>
    <w:qFormat/>
    <w:uiPriority w:val="99"/>
    <w:rPr>
      <w:rFonts w:ascii="Times New Roman" w:hAnsi="Times New Roman" w:eastAsia="宋体" w:cs="Times New Roman"/>
      <w:sz w:val="18"/>
      <w:szCs w:val="18"/>
    </w:rPr>
  </w:style>
  <w:style w:type="paragraph" w:customStyle="1" w:styleId="22">
    <w:name w:val="数字编号列项（二级）"/>
    <w:qFormat/>
    <w:uiPriority w:val="0"/>
    <w:pPr>
      <w:numPr>
        <w:ilvl w:val="1"/>
        <w:numId w:val="1"/>
      </w:numPr>
      <w:jc w:val="both"/>
    </w:pPr>
    <w:rPr>
      <w:rFonts w:ascii="宋体" w:hAnsi="Times New Roman" w:eastAsia="宋体" w:cs="Times New Roman"/>
      <w:kern w:val="0"/>
      <w:sz w:val="21"/>
      <w:szCs w:val="20"/>
      <w:lang w:val="en-US" w:eastAsia="zh-CN" w:bidi="ar-SA"/>
    </w:rPr>
  </w:style>
  <w:style w:type="paragraph" w:customStyle="1" w:styleId="23">
    <w:name w:val="字母编号列项（一级）"/>
    <w:qFormat/>
    <w:uiPriority w:val="0"/>
    <w:pPr>
      <w:numPr>
        <w:ilvl w:val="0"/>
        <w:numId w:val="1"/>
      </w:numPr>
      <w:jc w:val="both"/>
    </w:pPr>
    <w:rPr>
      <w:rFonts w:ascii="宋体" w:hAnsi="Times New Roman" w:eastAsia="宋体" w:cs="Times New Roman"/>
      <w:kern w:val="0"/>
      <w:sz w:val="21"/>
      <w:szCs w:val="20"/>
      <w:lang w:val="en-US" w:eastAsia="zh-CN" w:bidi="ar-SA"/>
    </w:rPr>
  </w:style>
  <w:style w:type="paragraph" w:customStyle="1" w:styleId="24">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5">
    <w:name w:val="段 Char"/>
    <w:basedOn w:val="9"/>
    <w:link w:val="24"/>
    <w:qFormat/>
    <w:uiPriority w:val="0"/>
    <w:rPr>
      <w:rFonts w:ascii="宋体" w:hAnsi="Times New Roman" w:eastAsia="宋体" w:cs="Times New Roman"/>
      <w:kern w:val="0"/>
      <w:szCs w:val="20"/>
    </w:rPr>
  </w:style>
  <w:style w:type="paragraph" w:customStyle="1" w:styleId="26">
    <w:name w:val="一级条标题"/>
    <w:next w:val="24"/>
    <w:qFormat/>
    <w:uiPriority w:val="0"/>
    <w:pPr>
      <w:numPr>
        <w:ilvl w:val="1"/>
        <w:numId w:val="2"/>
      </w:numPr>
      <w:spacing w:beforeLines="50" w:afterLines="50"/>
      <w:outlineLvl w:val="2"/>
    </w:pPr>
    <w:rPr>
      <w:rFonts w:ascii="黑体" w:hAnsi="Times New Roman" w:eastAsia="黑体" w:cs="Times New Roman"/>
      <w:kern w:val="0"/>
      <w:sz w:val="21"/>
      <w:szCs w:val="21"/>
      <w:lang w:val="en-US" w:eastAsia="zh-CN" w:bidi="ar-SA"/>
    </w:rPr>
  </w:style>
  <w:style w:type="paragraph" w:customStyle="1" w:styleId="27">
    <w:name w:val="章标题"/>
    <w:next w:val="24"/>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28">
    <w:name w:val="二级条标题"/>
    <w:basedOn w:val="26"/>
    <w:next w:val="24"/>
    <w:link w:val="32"/>
    <w:qFormat/>
    <w:uiPriority w:val="0"/>
    <w:pPr>
      <w:numPr>
        <w:ilvl w:val="2"/>
      </w:numPr>
      <w:spacing w:before="50" w:after="50"/>
      <w:outlineLvl w:val="3"/>
    </w:pPr>
  </w:style>
  <w:style w:type="paragraph" w:customStyle="1" w:styleId="29">
    <w:name w:val="三级条标题"/>
    <w:basedOn w:val="28"/>
    <w:next w:val="24"/>
    <w:qFormat/>
    <w:uiPriority w:val="0"/>
    <w:pPr>
      <w:numPr>
        <w:ilvl w:val="0"/>
        <w:numId w:val="0"/>
      </w:numPr>
      <w:outlineLvl w:val="4"/>
    </w:pPr>
  </w:style>
  <w:style w:type="paragraph" w:customStyle="1" w:styleId="30">
    <w:name w:val="四级条标题"/>
    <w:basedOn w:val="29"/>
    <w:next w:val="24"/>
    <w:qFormat/>
    <w:uiPriority w:val="0"/>
    <w:pPr>
      <w:numPr>
        <w:ilvl w:val="4"/>
        <w:numId w:val="2"/>
      </w:numPr>
      <w:tabs>
        <w:tab w:val="left" w:pos="360"/>
      </w:tabs>
      <w:outlineLvl w:val="5"/>
    </w:pPr>
  </w:style>
  <w:style w:type="paragraph" w:customStyle="1" w:styleId="31">
    <w:name w:val="五级条标题"/>
    <w:basedOn w:val="30"/>
    <w:next w:val="24"/>
    <w:qFormat/>
    <w:uiPriority w:val="0"/>
    <w:pPr>
      <w:numPr>
        <w:ilvl w:val="5"/>
      </w:numPr>
      <w:outlineLvl w:val="6"/>
    </w:pPr>
  </w:style>
  <w:style w:type="character" w:customStyle="1" w:styleId="32">
    <w:name w:val="二级条标题 Char"/>
    <w:basedOn w:val="9"/>
    <w:link w:val="28"/>
    <w:qFormat/>
    <w:uiPriority w:val="0"/>
    <w:rPr>
      <w:rFonts w:ascii="黑体" w:hAnsi="Times New Roman" w:eastAsia="黑体" w:cs="Times New Roman"/>
      <w:kern w:val="0"/>
      <w:szCs w:val="21"/>
    </w:rPr>
  </w:style>
  <w:style w:type="character" w:customStyle="1" w:styleId="33">
    <w:name w:val="日期 Char"/>
    <w:basedOn w:val="9"/>
    <w:link w:val="5"/>
    <w:semiHidden/>
    <w:qFormat/>
    <w:uiPriority w:val="99"/>
    <w:rPr>
      <w:rFonts w:ascii="Times New Roman" w:hAnsi="Times New Roman" w:eastAsia="宋体" w:cs="Times New Roman"/>
      <w:szCs w:val="24"/>
    </w:rPr>
  </w:style>
  <w:style w:type="paragraph" w:customStyle="1" w:styleId="34">
    <w:name w:val="注："/>
    <w:next w:val="24"/>
    <w:qFormat/>
    <w:uiPriority w:val="0"/>
    <w:pPr>
      <w:widowControl w:val="0"/>
      <w:numPr>
        <w:ilvl w:val="0"/>
        <w:numId w:val="3"/>
      </w:numPr>
      <w:autoSpaceDE w:val="0"/>
      <w:autoSpaceDN w:val="0"/>
      <w:jc w:val="both"/>
    </w:pPr>
    <w:rPr>
      <w:rFonts w:ascii="宋体" w:hAnsi="Times New Roman" w:eastAsia="宋体" w:cs="Times New Roman"/>
      <w:kern w:val="0"/>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2FBE93-2FB9-458F-9154-7894774D509F}">
  <ds:schemaRefs/>
</ds:datastoreItem>
</file>

<file path=docProps/app.xml><?xml version="1.0" encoding="utf-8"?>
<Properties xmlns="http://schemas.openxmlformats.org/officeDocument/2006/extended-properties" xmlns:vt="http://schemas.openxmlformats.org/officeDocument/2006/docPropsVTypes">
  <Template>Normal</Template>
  <Pages>13</Pages>
  <Words>966</Words>
  <Characters>5510</Characters>
  <Lines>45</Lines>
  <Paragraphs>12</Paragraphs>
  <ScaleCrop>false</ScaleCrop>
  <LinksUpToDate>false</LinksUpToDate>
  <CharactersWithSpaces>6464</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张晋</cp:lastModifiedBy>
  <dcterms:modified xsi:type="dcterms:W3CDTF">2017-03-28T01:08:36Z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